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val="en-GB" w:eastAsia="en-US"/>
        </w:rPr>
        <w:id w:val="1416666211"/>
        <w:docPartObj>
          <w:docPartGallery w:val="Cover Pages"/>
          <w:docPartUnique/>
        </w:docPartObj>
      </w:sdtPr>
      <w:sdtEndPr>
        <w:rPr>
          <w:rFonts w:asciiTheme="minorHAnsi" w:eastAsia="Calibri" w:hAnsiTheme="minorHAnsi" w:cs="Arial"/>
          <w:sz w:val="20"/>
          <w:szCs w:val="2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50"/>
          </w:tblGrid>
          <w:tr w:rsidR="000673C6" w:rsidTr="00F414D7">
            <w:tc>
              <w:tcPr>
                <w:tcW w:w="1135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73C6" w:rsidRDefault="000673C6" w:rsidP="000673C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673C6" w:rsidTr="00F414D7">
            <w:tc>
              <w:tcPr>
                <w:tcW w:w="1135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673C6" w:rsidRDefault="000673C6" w:rsidP="000673C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Brent and Harrow Suicide Prevention Action Plan 2019</w:t>
                    </w:r>
                    <w:r w:rsidR="00967C9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/20 – 2023/24</w:t>
                    </w:r>
                  </w:p>
                </w:sdtContent>
              </w:sdt>
            </w:tc>
          </w:tr>
          <w:tr w:rsidR="000673C6" w:rsidTr="00F414D7">
            <w:tc>
              <w:tcPr>
                <w:tcW w:w="1135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73C6" w:rsidRDefault="000673C6" w:rsidP="000673C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0673C6" w:rsidRDefault="00F414D7">
          <w:r>
            <w:rPr>
              <w:rFonts w:ascii="Arial" w:hAnsi="Arial" w:cs="Arial"/>
              <w:noProof/>
              <w:color w:val="FFFFFF"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8FC21B1" wp14:editId="0BA568C2">
                <wp:simplePos x="0" y="0"/>
                <wp:positionH relativeFrom="column">
                  <wp:posOffset>6820535</wp:posOffset>
                </wp:positionH>
                <wp:positionV relativeFrom="paragraph">
                  <wp:posOffset>76200</wp:posOffset>
                </wp:positionV>
                <wp:extent cx="2532380" cy="1266825"/>
                <wp:effectExtent l="0" t="0" r="1270" b="9525"/>
                <wp:wrapTight wrapText="bothSides">
                  <wp:wrapPolygon edited="0">
                    <wp:start x="0" y="0"/>
                    <wp:lineTo x="0" y="21438"/>
                    <wp:lineTo x="21448" y="21438"/>
                    <wp:lineTo x="21448" y="0"/>
                    <wp:lineTo x="0" y="0"/>
                  </wp:wrapPolygon>
                </wp:wrapTight>
                <wp:docPr id="3" name="Pictur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FFFFFF"/>
              <w:sz w:val="20"/>
              <w:szCs w:val="2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63B08BB4" wp14:editId="06EC5F32">
                <wp:simplePos x="0" y="0"/>
                <wp:positionH relativeFrom="column">
                  <wp:posOffset>-241300</wp:posOffset>
                </wp:positionH>
                <wp:positionV relativeFrom="paragraph">
                  <wp:posOffset>-19050</wp:posOffset>
                </wp:positionV>
                <wp:extent cx="920750" cy="1232535"/>
                <wp:effectExtent l="0" t="0" r="0" b="5715"/>
                <wp:wrapTight wrapText="bothSides">
                  <wp:wrapPolygon edited="0">
                    <wp:start x="0" y="0"/>
                    <wp:lineTo x="0" y="21366"/>
                    <wp:lineTo x="21004" y="21366"/>
                    <wp:lineTo x="21004" y="0"/>
                    <wp:lineTo x="0" y="0"/>
                  </wp:wrapPolygon>
                </wp:wrapTight>
                <wp:docPr id="2" name="Pictur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73C6" w:rsidRDefault="000673C6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50"/>
          </w:tblGrid>
          <w:tr w:rsidR="000673C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673C6" w:rsidRDefault="00286C96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GB"/>
                      </w:rPr>
                      <w:t>Brent and Harrow PH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673C6" w:rsidRDefault="002E6A2A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11/29/2019</w:t>
                    </w:r>
                  </w:p>
                </w:sdtContent>
              </w:sdt>
              <w:p w:rsidR="000673C6" w:rsidRDefault="000673C6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0673C6" w:rsidRDefault="000673C6"/>
        <w:p w:rsidR="000673C6" w:rsidRDefault="000673C6">
          <w:pPr>
            <w:spacing w:after="0" w:line="240" w:lineRule="aut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br w:type="page"/>
          </w:r>
        </w:p>
      </w:sdtContent>
    </w:sdt>
    <w:bookmarkStart w:id="1" w:name="_Toc26097754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GB" w:eastAsia="en-US"/>
        </w:rPr>
        <w:id w:val="-7895913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2E24" w:rsidRDefault="00CD2E24">
          <w:pPr>
            <w:pStyle w:val="TOCHeading"/>
          </w:pPr>
          <w:r>
            <w:t>Contents</w:t>
          </w:r>
        </w:p>
        <w:p w:rsidR="00CD2E24" w:rsidRDefault="00CD2E2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099774" w:history="1">
            <w:r w:rsidRPr="00CD4AFD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_Toc26099774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75" w:history="1">
            <w:r w:rsidR="00CD2E24" w:rsidRPr="00CD4AFD">
              <w:rPr>
                <w:rStyle w:val="Hyperlink"/>
                <w:noProof/>
              </w:rPr>
              <w:t>Preventing Suicide in England – A national strategy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_Toc26099775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2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76" w:history="1">
            <w:r w:rsidR="00CD2E24" w:rsidRPr="00CD4AFD">
              <w:rPr>
                <w:rStyle w:val="Hyperlink"/>
                <w:noProof/>
              </w:rPr>
              <w:t>Risk Factors and Data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_Toc26099776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4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77" w:history="1">
            <w:r w:rsidR="00CD2E24" w:rsidRPr="00CD4AFD">
              <w:rPr>
                <w:rStyle w:val="Hyperlink"/>
                <w:noProof/>
              </w:rPr>
              <w:t>Brent and Harrow Priorities for 2019 – 2020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_Toc26099777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6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78" w:history="1">
            <w:r w:rsidR="00CD2E24" w:rsidRPr="00CD4AFD">
              <w:rPr>
                <w:rStyle w:val="Hyperlink"/>
                <w:noProof/>
              </w:rPr>
              <w:t>Children and Young People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_Toc26099778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7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79" w:history="1">
            <w:r w:rsidR="00CD2E24" w:rsidRPr="00CD4AFD">
              <w:rPr>
                <w:rStyle w:val="Hyperlink"/>
                <w:noProof/>
              </w:rPr>
              <w:t>Self-Harm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_Toc26099779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8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80" w:history="1">
            <w:r w:rsidR="00CD2E24" w:rsidRPr="00CD4AFD">
              <w:rPr>
                <w:rStyle w:val="Hyperlink"/>
                <w:noProof/>
              </w:rPr>
              <w:t>Brent and Harrow Suicide Prevention Action Plan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_Toc26099780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11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1"/>
            <w:tabs>
              <w:tab w:val="right" w:leader="dot" w:pos="13948"/>
            </w:tabs>
            <w:rPr>
              <w:rStyle w:val="Hyperlink"/>
              <w:noProof/>
            </w:rPr>
          </w:pPr>
          <w:hyperlink w:anchor="_Toc26099781" w:history="1">
            <w:r w:rsidR="00CD2E24" w:rsidRPr="00CD4AFD">
              <w:rPr>
                <w:rStyle w:val="Hyperlink"/>
                <w:noProof/>
              </w:rPr>
              <w:t>Action 1: Reduce the risk of suicide in key high-risk groups.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_Toc26099781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12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333D33" w:rsidRPr="00333D33" w:rsidRDefault="00333D33" w:rsidP="00333D33">
          <w:r>
            <w:t>Action 2: Tailor approaches to improve mental health in all groups……………………………………………………………………………………………………………………………………….15</w:t>
          </w:r>
        </w:p>
        <w:p w:rsidR="00CD2E24" w:rsidRDefault="0092505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782" w:history="1">
            <w:r w:rsidR="00CD2E24" w:rsidRPr="00CD4AFD">
              <w:rPr>
                <w:rStyle w:val="Hyperlink"/>
                <w:noProof/>
              </w:rPr>
              <w:t>Action 3:  Reduce the access to means of suicide and tackle high frequency locations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_Toc26099782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17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810" w:history="1">
            <w:r w:rsidR="00CD2E24" w:rsidRPr="00CD4AFD">
              <w:rPr>
                <w:rStyle w:val="Hyperlink"/>
                <w:noProof/>
              </w:rPr>
              <w:t>Action 4:  Provide better information to those bereaved or affected by suicide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_Toc26099810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18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811" w:history="1">
            <w:r w:rsidR="00CD2E24" w:rsidRPr="00CD4AFD">
              <w:rPr>
                <w:rStyle w:val="Hyperlink"/>
                <w:noProof/>
              </w:rPr>
              <w:t>Action 5:  Support the media in delivering sensitive approaches to suicide and suicidal behaviour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_Toc26099811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19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812" w:history="1">
            <w:r w:rsidR="00CD2E24" w:rsidRPr="00CD4AFD">
              <w:rPr>
                <w:rStyle w:val="Hyperlink"/>
                <w:noProof/>
              </w:rPr>
              <w:t>Action 6: Support research. Data collection and monitoring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_Toc26099812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20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92505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6099813" w:history="1">
            <w:r w:rsidR="00CD2E24" w:rsidRPr="00CD4AFD">
              <w:rPr>
                <w:rStyle w:val="Hyperlink"/>
                <w:noProof/>
              </w:rPr>
              <w:t>Partners</w:t>
            </w:r>
            <w:r w:rsidR="00CD2E24">
              <w:rPr>
                <w:noProof/>
                <w:webHidden/>
              </w:rPr>
              <w:tab/>
            </w:r>
            <w:r w:rsidR="00CD2E24">
              <w:rPr>
                <w:noProof/>
                <w:webHidden/>
              </w:rPr>
              <w:fldChar w:fldCharType="begin"/>
            </w:r>
            <w:r w:rsidR="00CD2E24">
              <w:rPr>
                <w:noProof/>
                <w:webHidden/>
              </w:rPr>
              <w:instrText xml:space="preserve"> PAGEREF _Toc26099813 \h </w:instrText>
            </w:r>
            <w:r w:rsidR="00CD2E24">
              <w:rPr>
                <w:noProof/>
                <w:webHidden/>
              </w:rPr>
            </w:r>
            <w:r w:rsidR="00CD2E24">
              <w:rPr>
                <w:noProof/>
                <w:webHidden/>
              </w:rPr>
              <w:fldChar w:fldCharType="separate"/>
            </w:r>
            <w:r w:rsidR="00333D33">
              <w:rPr>
                <w:noProof/>
                <w:webHidden/>
              </w:rPr>
              <w:t>21</w:t>
            </w:r>
            <w:r w:rsidR="00CD2E24">
              <w:rPr>
                <w:noProof/>
                <w:webHidden/>
              </w:rPr>
              <w:fldChar w:fldCharType="end"/>
            </w:r>
          </w:hyperlink>
        </w:p>
        <w:p w:rsidR="00CD2E24" w:rsidRDefault="00CD2E24">
          <w:r>
            <w:rPr>
              <w:b/>
              <w:bCs/>
              <w:noProof/>
            </w:rPr>
            <w:fldChar w:fldCharType="end"/>
          </w:r>
        </w:p>
      </w:sdtContent>
    </w:sdt>
    <w:p w:rsidR="00CD2E24" w:rsidRDefault="00CD2E24">
      <w:pPr>
        <w:spacing w:after="0" w:line="240" w:lineRule="auto"/>
      </w:pPr>
      <w:r>
        <w:br w:type="page"/>
      </w:r>
    </w:p>
    <w:p w:rsidR="00C27859" w:rsidRPr="00D4092C" w:rsidRDefault="00E35A29" w:rsidP="00D4092C">
      <w:pPr>
        <w:pStyle w:val="Heading2"/>
        <w:rPr>
          <w:rFonts w:asciiTheme="minorHAnsi" w:hAnsiTheme="minorHAnsi"/>
          <w:color w:val="auto"/>
        </w:rPr>
      </w:pPr>
      <w:bookmarkStart w:id="2" w:name="_Toc26099774"/>
      <w:r w:rsidRPr="00D4092C">
        <w:rPr>
          <w:rFonts w:asciiTheme="minorHAnsi" w:hAnsiTheme="minorHAnsi"/>
          <w:color w:val="auto"/>
        </w:rPr>
        <w:lastRenderedPageBreak/>
        <w:t>Introduction</w:t>
      </w:r>
      <w:bookmarkEnd w:id="2"/>
      <w:bookmarkEnd w:id="1"/>
    </w:p>
    <w:p w:rsidR="00051400" w:rsidRDefault="00367B4C" w:rsidP="00051400">
      <w:pPr>
        <w:rPr>
          <w:rFonts w:asciiTheme="minorHAnsi" w:hAnsiTheme="minorHAnsi" w:cs="Arial"/>
        </w:rPr>
      </w:pPr>
      <w:r w:rsidRPr="00367B4C">
        <w:rPr>
          <w:rFonts w:asciiTheme="minorHAnsi" w:hAnsiTheme="minorHAnsi" w:cs="Arial"/>
        </w:rPr>
        <w:t>In 2018, there were 6,507 suicides registered in the UK, an age-standardised rate of 11.</w:t>
      </w:r>
      <w:r>
        <w:rPr>
          <w:rFonts w:asciiTheme="minorHAnsi" w:hAnsiTheme="minorHAnsi" w:cs="Arial"/>
        </w:rPr>
        <w:t xml:space="preserve">2 deaths per 100,000 </w:t>
      </w:r>
      <w:proofErr w:type="gramStart"/>
      <w:r>
        <w:rPr>
          <w:rFonts w:asciiTheme="minorHAnsi" w:hAnsiTheme="minorHAnsi" w:cs="Arial"/>
        </w:rPr>
        <w:t>population</w:t>
      </w:r>
      <w:proofErr w:type="gramEnd"/>
      <w:r>
        <w:rPr>
          <w:rFonts w:asciiTheme="minorHAnsi" w:hAnsiTheme="minorHAnsi" w:cs="Arial"/>
        </w:rPr>
        <w:t xml:space="preserve">. </w:t>
      </w:r>
      <w:r w:rsidRPr="00367B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This</w:t>
      </w:r>
      <w:r w:rsidRPr="00367B4C">
        <w:rPr>
          <w:rFonts w:asciiTheme="minorHAnsi" w:hAnsiTheme="minorHAnsi" w:cs="Arial"/>
        </w:rPr>
        <w:t xml:space="preserve"> rate is significantly higher than that in 2017 and represent</w:t>
      </w:r>
      <w:bookmarkStart w:id="3" w:name="_Ref17800344"/>
      <w:r>
        <w:rPr>
          <w:rFonts w:asciiTheme="minorHAnsi" w:hAnsiTheme="minorHAnsi" w:cs="Arial"/>
        </w:rPr>
        <w:t>s the first increase since 2013</w:t>
      </w:r>
      <w:bookmarkEnd w:id="3"/>
      <w:r>
        <w:rPr>
          <w:rFonts w:asciiTheme="minorHAnsi" w:hAnsiTheme="minorHAnsi" w:cs="Arial"/>
        </w:rPr>
        <w:t>.</w:t>
      </w:r>
      <w:r w:rsidR="00D7772D">
        <w:rPr>
          <w:rFonts w:asciiTheme="minorHAnsi" w:hAnsiTheme="minorHAnsi" w:cs="Arial"/>
        </w:rPr>
        <w:t xml:space="preserve">  </w:t>
      </w:r>
      <w:r w:rsidRPr="00367B4C">
        <w:rPr>
          <w:rFonts w:asciiTheme="minorHAnsi" w:hAnsiTheme="minorHAnsi" w:cs="Arial"/>
        </w:rPr>
        <w:t>Three-quarters of registered deaths in 201</w:t>
      </w:r>
      <w:r>
        <w:rPr>
          <w:rFonts w:asciiTheme="minorHAnsi" w:hAnsiTheme="minorHAnsi" w:cs="Arial"/>
        </w:rPr>
        <w:t>8 were among men (4,903 deaths).</w:t>
      </w:r>
      <w:r w:rsidRPr="00367B4C">
        <w:t xml:space="preserve"> </w:t>
      </w:r>
      <w:r w:rsidRPr="00367B4C">
        <w:rPr>
          <w:rFonts w:asciiTheme="minorHAnsi" w:hAnsiTheme="minorHAnsi" w:cs="Arial"/>
        </w:rPr>
        <w:t>Despite low number</w:t>
      </w:r>
      <w:r>
        <w:rPr>
          <w:rFonts w:asciiTheme="minorHAnsi" w:hAnsiTheme="minorHAnsi" w:cs="Arial"/>
        </w:rPr>
        <w:t>s</w:t>
      </w:r>
      <w:r w:rsidRPr="00367B4C">
        <w:rPr>
          <w:rFonts w:asciiTheme="minorHAnsi" w:hAnsiTheme="minorHAnsi" w:cs="Arial"/>
        </w:rPr>
        <w:t xml:space="preserve"> of deaths overall, rates among the under 25s have generally increased in recent years, particularly 10 to 24-year-old females</w:t>
      </w:r>
      <w:r>
        <w:rPr>
          <w:rFonts w:asciiTheme="minorHAnsi" w:hAnsiTheme="minorHAnsi" w:cs="Arial"/>
        </w:rPr>
        <w:t>.  T</w:t>
      </w:r>
      <w:r w:rsidRPr="00367B4C">
        <w:rPr>
          <w:rFonts w:asciiTheme="minorHAnsi" w:hAnsiTheme="minorHAnsi" w:cs="Arial"/>
        </w:rPr>
        <w:t>he most common method of suicide in the UK was hanging, accounting for 59.4% of all suicides among males and 45.0% of all suicides among females</w:t>
      </w:r>
      <w:r>
        <w:rPr>
          <w:rStyle w:val="FootnoteReference"/>
          <w:rFonts w:asciiTheme="minorHAnsi" w:hAnsiTheme="minorHAnsi" w:cs="Arial"/>
        </w:rPr>
        <w:footnoteReference w:id="1"/>
      </w:r>
      <w:proofErr w:type="gramStart"/>
      <w:r>
        <w:rPr>
          <w:rFonts w:asciiTheme="minorHAnsi" w:hAnsiTheme="minorHAnsi" w:cs="Arial"/>
        </w:rPr>
        <w:t>.</w:t>
      </w:r>
      <w:r w:rsidRPr="00367B4C">
        <w:rPr>
          <w:rFonts w:asciiTheme="minorHAnsi" w:hAnsiTheme="minorHAnsi" w:cs="Arial"/>
        </w:rPr>
        <w:t>.</w:t>
      </w:r>
      <w:proofErr w:type="gramEnd"/>
      <w:r w:rsidR="00E35A29">
        <w:rPr>
          <w:rFonts w:asciiTheme="minorHAnsi" w:hAnsiTheme="minorHAnsi" w:cs="Arial"/>
        </w:rPr>
        <w:t xml:space="preserve"> </w:t>
      </w:r>
    </w:p>
    <w:p w:rsidR="00CF2BA0" w:rsidRPr="00D4092C" w:rsidRDefault="00145F9B" w:rsidP="00D4092C">
      <w:pPr>
        <w:pStyle w:val="Heading2"/>
        <w:rPr>
          <w:rFonts w:asciiTheme="minorHAnsi" w:hAnsiTheme="minorHAnsi"/>
          <w:color w:val="auto"/>
        </w:rPr>
      </w:pPr>
      <w:bookmarkStart w:id="4" w:name="_Toc26097755"/>
      <w:bookmarkStart w:id="5" w:name="_Toc26099775"/>
      <w:r w:rsidRPr="00D4092C">
        <w:rPr>
          <w:rFonts w:asciiTheme="minorHAnsi" w:hAnsiTheme="minorHAnsi"/>
          <w:color w:val="auto"/>
        </w:rPr>
        <w:t>Preventing Suicide in England – A national strategy</w:t>
      </w:r>
      <w:bookmarkEnd w:id="4"/>
      <w:bookmarkEnd w:id="5"/>
    </w:p>
    <w:p w:rsidR="00D46D77" w:rsidRDefault="000D4672" w:rsidP="0005140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Since</w:t>
      </w:r>
      <w:r w:rsidR="00430A7D">
        <w:rPr>
          <w:rFonts w:asciiTheme="minorHAnsi" w:hAnsiTheme="minorHAnsi" w:cs="Arial"/>
        </w:rPr>
        <w:t xml:space="preserve"> publishing</w:t>
      </w:r>
      <w:r>
        <w:rPr>
          <w:rFonts w:asciiTheme="minorHAnsi" w:hAnsiTheme="minorHAnsi" w:cs="Arial"/>
        </w:rPr>
        <w:t xml:space="preserve"> the national strategy for preventing suicide in 2012</w:t>
      </w:r>
      <w:r w:rsidR="00430A7D">
        <w:rPr>
          <w:rStyle w:val="FootnoteReference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, the Government has published several reports and strategies </w:t>
      </w:r>
      <w:r w:rsidR="00430A7D">
        <w:rPr>
          <w:rFonts w:asciiTheme="minorHAnsi" w:hAnsiTheme="minorHAnsi" w:cs="Arial"/>
        </w:rPr>
        <w:t xml:space="preserve">aimed at improving mental health and preventing suicide.  The strategy mandated </w:t>
      </w:r>
      <w:r w:rsidR="00D46D77">
        <w:rPr>
          <w:rFonts w:asciiTheme="minorHAnsi" w:hAnsiTheme="minorHAnsi" w:cs="Arial"/>
        </w:rPr>
        <w:t>local authorities</w:t>
      </w:r>
      <w:r w:rsidR="00430A7D">
        <w:rPr>
          <w:rFonts w:asciiTheme="minorHAnsi" w:hAnsiTheme="minorHAnsi" w:cs="Arial"/>
        </w:rPr>
        <w:t xml:space="preserve"> with</w:t>
      </w:r>
      <w:r w:rsidR="00D46D77">
        <w:rPr>
          <w:rFonts w:asciiTheme="minorHAnsi" w:hAnsiTheme="minorHAnsi" w:cs="Arial"/>
        </w:rPr>
        <w:t xml:space="preserve"> the responsibility for leading local suicide prevention work in collaboration with local partners such as (but exclusive to) local Clinical Commissioning Groups (CCG), police, voluntary sector and the </w:t>
      </w:r>
      <w:proofErr w:type="gramStart"/>
      <w:r w:rsidR="00D46D77">
        <w:rPr>
          <w:rFonts w:asciiTheme="minorHAnsi" w:hAnsiTheme="minorHAnsi" w:cs="Arial"/>
        </w:rPr>
        <w:t>coroners</w:t>
      </w:r>
      <w:proofErr w:type="gramEnd"/>
      <w:r w:rsidR="00D46D77">
        <w:rPr>
          <w:rFonts w:asciiTheme="minorHAnsi" w:hAnsiTheme="minorHAnsi" w:cs="Arial"/>
        </w:rPr>
        <w:t xml:space="preserve"> office.  Other national reports </w:t>
      </w:r>
      <w:r>
        <w:rPr>
          <w:rFonts w:asciiTheme="minorHAnsi" w:hAnsiTheme="minorHAnsi" w:cs="Arial"/>
        </w:rPr>
        <w:t>include t</w:t>
      </w:r>
      <w:r w:rsidRPr="000D4672">
        <w:rPr>
          <w:rFonts w:asciiTheme="minorHAnsi" w:hAnsiTheme="minorHAnsi" w:cs="Arial"/>
        </w:rPr>
        <w:t>he Five Year Forward</w:t>
      </w:r>
      <w:r>
        <w:rPr>
          <w:rFonts w:asciiTheme="minorHAnsi" w:hAnsiTheme="minorHAnsi" w:cs="Arial"/>
        </w:rPr>
        <w:t xml:space="preserve"> View for Mental Health</w:t>
      </w:r>
      <w:r w:rsidR="00D46D77">
        <w:rPr>
          <w:rStyle w:val="FootnoteReference"/>
          <w:rFonts w:asciiTheme="minorHAnsi" w:hAnsiTheme="minorHAnsi" w:cs="Arial"/>
        </w:rPr>
        <w:footnoteReference w:id="3"/>
      </w:r>
      <w:r>
        <w:rPr>
          <w:rFonts w:asciiTheme="minorHAnsi" w:hAnsiTheme="minorHAnsi" w:cs="Arial"/>
        </w:rPr>
        <w:t xml:space="preserve"> which </w:t>
      </w:r>
      <w:r w:rsidRPr="000D4672">
        <w:rPr>
          <w:rFonts w:asciiTheme="minorHAnsi" w:hAnsiTheme="minorHAnsi" w:cs="Arial"/>
        </w:rPr>
        <w:t>set a national ambition i</w:t>
      </w:r>
      <w:r>
        <w:rPr>
          <w:rFonts w:asciiTheme="minorHAnsi" w:hAnsiTheme="minorHAnsi" w:cs="Arial"/>
        </w:rPr>
        <w:t xml:space="preserve">n 2016 to reduce suicides by 10% by </w:t>
      </w:r>
      <w:r w:rsidRPr="000D4672">
        <w:rPr>
          <w:rFonts w:asciiTheme="minorHAnsi" w:hAnsiTheme="minorHAnsi" w:cs="Arial"/>
        </w:rPr>
        <w:t>2020/21</w:t>
      </w:r>
      <w:r w:rsidR="00D46D77">
        <w:rPr>
          <w:rFonts w:asciiTheme="minorHAnsi" w:hAnsiTheme="minorHAnsi" w:cs="Arial"/>
        </w:rPr>
        <w:t xml:space="preserve">. </w:t>
      </w:r>
    </w:p>
    <w:p w:rsidR="00D46D77" w:rsidRDefault="00D46D77" w:rsidP="0005140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653C22">
        <w:rPr>
          <w:rFonts w:asciiTheme="minorHAnsi" w:hAnsiTheme="minorHAnsi" w:cs="Arial"/>
        </w:rPr>
        <w:t xml:space="preserve">England </w:t>
      </w:r>
      <w:r>
        <w:rPr>
          <w:rFonts w:asciiTheme="minorHAnsi" w:hAnsiTheme="minorHAnsi" w:cs="Arial"/>
        </w:rPr>
        <w:t>strategy had two objectives</w:t>
      </w:r>
      <w:r w:rsidR="00653C22">
        <w:rPr>
          <w:rFonts w:asciiTheme="minorHAnsi" w:hAnsiTheme="minorHAnsi" w:cs="Arial"/>
        </w:rPr>
        <w:t xml:space="preserve"> which suicide prevention plans should reflect and work towards.  These are</w:t>
      </w:r>
      <w:r>
        <w:rPr>
          <w:rFonts w:asciiTheme="minorHAnsi" w:hAnsiTheme="minorHAnsi" w:cs="Arial"/>
        </w:rPr>
        <w:t>:</w:t>
      </w:r>
    </w:p>
    <w:p w:rsidR="00D46D77" w:rsidRDefault="00D46D77" w:rsidP="00D46D77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D46D77">
        <w:rPr>
          <w:rFonts w:asciiTheme="minorHAnsi" w:hAnsiTheme="minorHAnsi" w:cs="Arial"/>
        </w:rPr>
        <w:t xml:space="preserve"> reduction in the suicide rate in the general population in England; and</w:t>
      </w:r>
    </w:p>
    <w:p w:rsidR="00D46D77" w:rsidRDefault="00D46D77" w:rsidP="00D46D77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proofErr w:type="gramStart"/>
      <w:r w:rsidRPr="00D46D77">
        <w:rPr>
          <w:rFonts w:asciiTheme="minorHAnsi" w:hAnsiTheme="minorHAnsi" w:cs="Arial"/>
        </w:rPr>
        <w:t>better</w:t>
      </w:r>
      <w:proofErr w:type="gramEnd"/>
      <w:r w:rsidRPr="00D46D77">
        <w:rPr>
          <w:rFonts w:asciiTheme="minorHAnsi" w:hAnsiTheme="minorHAnsi" w:cs="Arial"/>
        </w:rPr>
        <w:t xml:space="preserve"> support for those bereaved or affected by suicide.</w:t>
      </w:r>
    </w:p>
    <w:p w:rsidR="00653C22" w:rsidRPr="00653C22" w:rsidRDefault="00653C22" w:rsidP="00653C2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strategy </w:t>
      </w:r>
      <w:r w:rsidRPr="00653C22">
        <w:rPr>
          <w:rFonts w:asciiTheme="minorHAnsi" w:hAnsiTheme="minorHAnsi" w:cs="Arial"/>
        </w:rPr>
        <w:t>identified six key areas for action to support delivery of these objectives:</w:t>
      </w:r>
    </w:p>
    <w:p w:rsidR="00653C22" w:rsidRPr="00653C22" w:rsidRDefault="00653C22" w:rsidP="00653C22">
      <w:pPr>
        <w:pStyle w:val="ListParagraph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t>1: Reduce the risk of suicide in key high-risk groups</w:t>
      </w:r>
    </w:p>
    <w:p w:rsidR="00653C22" w:rsidRPr="00653C22" w:rsidRDefault="00653C22" w:rsidP="00653C22">
      <w:pPr>
        <w:pStyle w:val="ListParagraph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t>2: Tailor approaches to improve mental health in specific groups</w:t>
      </w:r>
    </w:p>
    <w:p w:rsidR="00653C22" w:rsidRPr="00653C22" w:rsidRDefault="00653C22" w:rsidP="00653C22">
      <w:pPr>
        <w:pStyle w:val="ListParagraph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t>3: Reduce access to the means of suicide</w:t>
      </w:r>
    </w:p>
    <w:p w:rsidR="00653C22" w:rsidRPr="00653C22" w:rsidRDefault="00653C22" w:rsidP="00653C22">
      <w:pPr>
        <w:pStyle w:val="ListParagraph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t>4: Provide better information and support to those bereaved or affected by suicide</w:t>
      </w:r>
    </w:p>
    <w:p w:rsidR="00653C22" w:rsidRPr="00653C22" w:rsidRDefault="00653C22" w:rsidP="00653C22">
      <w:pPr>
        <w:pStyle w:val="ListParagraph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t>5: Support the media in delivering sensitive approaches to suicide and suicidal behaviour</w:t>
      </w:r>
    </w:p>
    <w:p w:rsidR="00D46D77" w:rsidRPr="00D46D77" w:rsidRDefault="00653C22" w:rsidP="00653C22">
      <w:pPr>
        <w:pStyle w:val="ListParagraph"/>
        <w:ind w:left="0"/>
        <w:rPr>
          <w:rFonts w:asciiTheme="minorHAnsi" w:hAnsiTheme="minorHAnsi" w:cs="Arial"/>
        </w:rPr>
      </w:pPr>
      <w:r w:rsidRPr="00653C22">
        <w:rPr>
          <w:rFonts w:asciiTheme="minorHAnsi" w:hAnsiTheme="minorHAnsi" w:cs="Arial"/>
        </w:rPr>
        <w:lastRenderedPageBreak/>
        <w:t>6: Support research, data collection and monitoring.</w:t>
      </w:r>
      <w:r>
        <w:rPr>
          <w:rFonts w:asciiTheme="minorHAnsi" w:hAnsiTheme="minorHAnsi" w:cs="Arial"/>
        </w:rPr>
        <w:t xml:space="preserve">  An additional </w:t>
      </w:r>
      <w:r w:rsidR="002632B7">
        <w:rPr>
          <w:rFonts w:asciiTheme="minorHAnsi" w:hAnsiTheme="minorHAnsi" w:cs="Arial"/>
        </w:rPr>
        <w:t xml:space="preserve">area of focus </w:t>
      </w:r>
      <w:r w:rsidR="00F25EF0">
        <w:rPr>
          <w:rFonts w:asciiTheme="minorHAnsi" w:hAnsiTheme="minorHAnsi" w:cs="Arial"/>
        </w:rPr>
        <w:t xml:space="preserve">was added which included, </w:t>
      </w:r>
      <w:r w:rsidR="002632B7">
        <w:rPr>
          <w:rFonts w:asciiTheme="minorHAnsi" w:hAnsiTheme="minorHAnsi" w:cs="Arial"/>
        </w:rPr>
        <w:t>r</w:t>
      </w:r>
      <w:r w:rsidR="00F25EF0">
        <w:rPr>
          <w:rFonts w:asciiTheme="minorHAnsi" w:hAnsiTheme="minorHAnsi" w:cs="Arial"/>
        </w:rPr>
        <w:t>educing rates of self-harm.</w:t>
      </w:r>
    </w:p>
    <w:p w:rsidR="00E6015E" w:rsidRPr="00D4092C" w:rsidRDefault="00E6015E" w:rsidP="00D4092C">
      <w:pPr>
        <w:pStyle w:val="Subtitle"/>
        <w:rPr>
          <w:rFonts w:asciiTheme="minorHAnsi" w:hAnsiTheme="minorHAnsi"/>
          <w:color w:val="auto"/>
        </w:rPr>
      </w:pPr>
      <w:r w:rsidRPr="00D4092C">
        <w:rPr>
          <w:rFonts w:asciiTheme="minorHAnsi" w:hAnsiTheme="minorHAnsi"/>
          <w:color w:val="auto"/>
        </w:rPr>
        <w:t>Thrive LDN</w:t>
      </w:r>
    </w:p>
    <w:p w:rsidR="00020C83" w:rsidRDefault="00D7772D" w:rsidP="0005140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Regionally in London</w:t>
      </w:r>
      <w:r w:rsidRPr="00D777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during 2016-2018 the rate of suicide for all persons was 8.1 per 100,000</w:t>
      </w:r>
      <w:r>
        <w:rPr>
          <w:rStyle w:val="FootnoteReference"/>
          <w:rFonts w:asciiTheme="minorHAnsi" w:hAnsiTheme="minorHAnsi" w:cs="Arial"/>
        </w:rPr>
        <w:footnoteReference w:id="4"/>
      </w:r>
      <w:r>
        <w:rPr>
          <w:rFonts w:asciiTheme="minorHAnsi" w:hAnsiTheme="minorHAnsi" w:cs="Arial"/>
        </w:rPr>
        <w:t xml:space="preserve">.  </w:t>
      </w:r>
      <w:r w:rsidR="00906650">
        <w:rPr>
          <w:rFonts w:asciiTheme="minorHAnsi" w:hAnsiTheme="minorHAnsi" w:cs="Arial"/>
        </w:rPr>
        <w:t xml:space="preserve">568 Londoners took their own lives in 2017, this equates to approximately 11 people every week.  </w:t>
      </w:r>
      <w:r>
        <w:rPr>
          <w:rFonts w:asciiTheme="minorHAnsi" w:hAnsiTheme="minorHAnsi" w:cs="Arial"/>
        </w:rPr>
        <w:t xml:space="preserve">London currently has the lowest </w:t>
      </w:r>
      <w:r w:rsidRPr="00051400">
        <w:rPr>
          <w:rFonts w:asciiTheme="minorHAnsi" w:hAnsiTheme="minorHAnsi" w:cs="Arial"/>
        </w:rPr>
        <w:t>rate</w:t>
      </w:r>
      <w:r>
        <w:rPr>
          <w:rFonts w:asciiTheme="minorHAnsi" w:hAnsiTheme="minorHAnsi" w:cs="Arial"/>
        </w:rPr>
        <w:t xml:space="preserve"> of suicide</w:t>
      </w:r>
      <w:r w:rsidRPr="00051400">
        <w:rPr>
          <w:rFonts w:asciiTheme="minorHAnsi" w:hAnsiTheme="minorHAnsi" w:cs="Arial"/>
        </w:rPr>
        <w:t xml:space="preserve"> for the whole of England</w:t>
      </w:r>
      <w:r w:rsidR="00906650">
        <w:rPr>
          <w:rFonts w:asciiTheme="minorHAnsi" w:hAnsiTheme="minorHAnsi" w:cs="Arial"/>
        </w:rPr>
        <w:t>, although there is variation between the boroughs</w:t>
      </w:r>
      <w:r w:rsidR="00906650">
        <w:rPr>
          <w:rStyle w:val="FootnoteReference"/>
          <w:rFonts w:asciiTheme="minorHAnsi" w:hAnsiTheme="minorHAnsi" w:cs="Arial"/>
        </w:rPr>
        <w:footnoteReference w:id="5"/>
      </w:r>
      <w:r>
        <w:rPr>
          <w:rFonts w:asciiTheme="minorHAnsi" w:hAnsiTheme="minorHAnsi" w:cs="Arial"/>
        </w:rPr>
        <w:t xml:space="preserve">.  </w:t>
      </w:r>
      <w:r w:rsidR="00906650">
        <w:rPr>
          <w:rFonts w:asciiTheme="minorHAnsi" w:hAnsiTheme="minorHAnsi" w:cs="Arial"/>
        </w:rPr>
        <w:t>Thrive LDN are leading in developing a joined up approach to delivering suicide prevention activities.  In</w:t>
      </w:r>
      <w:r w:rsidR="00AD3139">
        <w:rPr>
          <w:rFonts w:asciiTheme="minorHAnsi" w:hAnsiTheme="minorHAnsi" w:cs="Arial"/>
        </w:rPr>
        <w:t xml:space="preserve"> addition to supporting Harrow to deliver Mental Health First Aid training to colleagues and professionals</w:t>
      </w:r>
      <w:r w:rsidR="00906650">
        <w:rPr>
          <w:rFonts w:asciiTheme="minorHAnsi" w:hAnsiTheme="minorHAnsi" w:cs="Arial"/>
        </w:rPr>
        <w:t>, they have</w:t>
      </w:r>
      <w:r w:rsidR="00906650" w:rsidRPr="00906650">
        <w:rPr>
          <w:rFonts w:asciiTheme="minorHAnsi" w:hAnsiTheme="minorHAnsi" w:cs="Arial"/>
        </w:rPr>
        <w:t xml:space="preserve"> </w:t>
      </w:r>
      <w:r w:rsidR="00AD3139">
        <w:rPr>
          <w:rFonts w:asciiTheme="minorHAnsi" w:hAnsiTheme="minorHAnsi" w:cs="Arial"/>
        </w:rPr>
        <w:t xml:space="preserve">also </w:t>
      </w:r>
      <w:r w:rsidR="00906650" w:rsidRPr="00906650">
        <w:rPr>
          <w:rFonts w:asciiTheme="minorHAnsi" w:hAnsiTheme="minorHAnsi" w:cs="Arial"/>
        </w:rPr>
        <w:t>commissioned Papyrus UK to provide education t</w:t>
      </w:r>
      <w:r w:rsidR="00E6015E">
        <w:rPr>
          <w:rFonts w:asciiTheme="minorHAnsi" w:hAnsiTheme="minorHAnsi" w:cs="Arial"/>
        </w:rPr>
        <w:t>o schools, colleges and London u</w:t>
      </w:r>
      <w:r w:rsidR="00906650" w:rsidRPr="00906650">
        <w:rPr>
          <w:rFonts w:asciiTheme="minorHAnsi" w:hAnsiTheme="minorHAnsi" w:cs="Arial"/>
        </w:rPr>
        <w:t>niversities</w:t>
      </w:r>
      <w:r w:rsidR="00906650">
        <w:rPr>
          <w:rFonts w:asciiTheme="minorHAnsi" w:hAnsiTheme="minorHAnsi" w:cs="Arial"/>
        </w:rPr>
        <w:t xml:space="preserve"> </w:t>
      </w:r>
      <w:r w:rsidR="00020C83">
        <w:rPr>
          <w:rFonts w:asciiTheme="minorHAnsi" w:hAnsiTheme="minorHAnsi" w:cs="Arial"/>
        </w:rPr>
        <w:t xml:space="preserve">on suicide prevention </w:t>
      </w:r>
      <w:r w:rsidR="00906650">
        <w:rPr>
          <w:rFonts w:asciiTheme="minorHAnsi" w:hAnsiTheme="minorHAnsi" w:cs="Arial"/>
        </w:rPr>
        <w:t>through training workshops</w:t>
      </w:r>
      <w:r w:rsidR="00020C83">
        <w:rPr>
          <w:rFonts w:asciiTheme="minorHAnsi" w:hAnsiTheme="minorHAnsi" w:cs="Arial"/>
        </w:rPr>
        <w:t xml:space="preserve"> and organisational policy development</w:t>
      </w:r>
      <w:r w:rsidR="00906650" w:rsidRPr="00906650">
        <w:rPr>
          <w:rFonts w:asciiTheme="minorHAnsi" w:hAnsiTheme="minorHAnsi" w:cs="Arial"/>
        </w:rPr>
        <w:t>.</w:t>
      </w:r>
      <w:r w:rsidR="00020C83">
        <w:rPr>
          <w:rFonts w:asciiTheme="minorHAnsi" w:hAnsiTheme="minorHAnsi" w:cs="Arial"/>
        </w:rPr>
        <w:t xml:space="preserve"> </w:t>
      </w:r>
      <w:r w:rsidR="00906650" w:rsidRPr="00906650">
        <w:rPr>
          <w:rFonts w:asciiTheme="minorHAnsi" w:hAnsiTheme="minorHAnsi" w:cs="Arial"/>
        </w:rPr>
        <w:t xml:space="preserve"> </w:t>
      </w:r>
      <w:r w:rsidR="00906650">
        <w:rPr>
          <w:rFonts w:asciiTheme="minorHAnsi" w:hAnsiTheme="minorHAnsi" w:cs="Arial"/>
        </w:rPr>
        <w:t xml:space="preserve">In addition to this, </w:t>
      </w:r>
      <w:r w:rsidR="00E6015E">
        <w:rPr>
          <w:rFonts w:asciiTheme="minorHAnsi" w:hAnsiTheme="minorHAnsi" w:cs="Arial"/>
        </w:rPr>
        <w:t>resources have been developed aimed at clinicians and primary care staff to reduce access to medication as a means of sui</w:t>
      </w:r>
      <w:r w:rsidR="00020C83">
        <w:rPr>
          <w:rFonts w:asciiTheme="minorHAnsi" w:hAnsiTheme="minorHAnsi" w:cs="Arial"/>
        </w:rPr>
        <w:t xml:space="preserve">cide to high risk groups.  </w:t>
      </w:r>
    </w:p>
    <w:p w:rsidR="00D10D5B" w:rsidRPr="00D4092C" w:rsidRDefault="00D10D5B" w:rsidP="00D4092C">
      <w:pPr>
        <w:pStyle w:val="Subtitle"/>
        <w:rPr>
          <w:rFonts w:asciiTheme="minorHAnsi" w:hAnsiTheme="minorHAnsi"/>
          <w:color w:val="auto"/>
        </w:rPr>
      </w:pPr>
      <w:r w:rsidRPr="00D4092C">
        <w:rPr>
          <w:rFonts w:asciiTheme="minorHAnsi" w:hAnsiTheme="minorHAnsi"/>
          <w:color w:val="auto"/>
        </w:rPr>
        <w:t>Data sharing across London</w:t>
      </w:r>
    </w:p>
    <w:p w:rsidR="00A11639" w:rsidRDefault="00020C83" w:rsidP="0005140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Thrive LDN </w:t>
      </w:r>
      <w:r w:rsidRPr="00020C83">
        <w:rPr>
          <w:rFonts w:asciiTheme="minorHAnsi" w:hAnsiTheme="minorHAnsi" w:cs="Arial"/>
        </w:rPr>
        <w:t>have</w:t>
      </w:r>
      <w:r>
        <w:rPr>
          <w:rFonts w:asciiTheme="minorHAnsi" w:hAnsiTheme="minorHAnsi" w:cs="Arial"/>
        </w:rPr>
        <w:t xml:space="preserve"> also</w:t>
      </w:r>
      <w:r w:rsidRPr="00020C83">
        <w:rPr>
          <w:rFonts w:asciiTheme="minorHAnsi" w:hAnsiTheme="minorHAnsi" w:cs="Arial"/>
        </w:rPr>
        <w:t xml:space="preserve"> developed London’s first multi-agency information sharing hub, allowing vital information to be securely shared to enable effective bereavement support and the improvement of suicide prevention work throughout London</w:t>
      </w:r>
      <w:r>
        <w:rPr>
          <w:rFonts w:asciiTheme="minorHAnsi" w:hAnsiTheme="minorHAnsi" w:cs="Arial"/>
        </w:rPr>
        <w:t>.  The data sharing hub will entail working w</w:t>
      </w:r>
      <w:r w:rsidR="001177BC">
        <w:rPr>
          <w:rFonts w:asciiTheme="minorHAnsi" w:hAnsiTheme="minorHAnsi" w:cs="Arial"/>
        </w:rPr>
        <w:t xml:space="preserve">ith all councils </w:t>
      </w:r>
      <w:r w:rsidR="00430A7D">
        <w:rPr>
          <w:rFonts w:asciiTheme="minorHAnsi" w:hAnsiTheme="minorHAnsi" w:cs="Arial"/>
        </w:rPr>
        <w:t xml:space="preserve">to </w:t>
      </w:r>
      <w:r w:rsidR="001177BC">
        <w:rPr>
          <w:rFonts w:asciiTheme="minorHAnsi" w:hAnsiTheme="minorHAnsi" w:cs="Arial"/>
        </w:rPr>
        <w:t>facilitate</w:t>
      </w:r>
      <w:r>
        <w:rPr>
          <w:rFonts w:asciiTheme="minorHAnsi" w:hAnsiTheme="minorHAnsi" w:cs="Arial"/>
        </w:rPr>
        <w:t xml:space="preserve"> real time</w:t>
      </w:r>
      <w:r w:rsidR="001177BC">
        <w:rPr>
          <w:rFonts w:asciiTheme="minorHAnsi" w:hAnsiTheme="minorHAnsi" w:cs="Arial"/>
        </w:rPr>
        <w:t xml:space="preserve"> reporting enabling local councils to potentially have</w:t>
      </w:r>
      <w:r>
        <w:rPr>
          <w:rFonts w:asciiTheme="minorHAnsi" w:hAnsiTheme="minorHAnsi" w:cs="Arial"/>
        </w:rPr>
        <w:t xml:space="preserve"> </w:t>
      </w:r>
      <w:r w:rsidR="001177BC" w:rsidRPr="001177BC">
        <w:rPr>
          <w:rFonts w:asciiTheme="minorHAnsi" w:hAnsiTheme="minorHAnsi" w:cs="Arial"/>
        </w:rPr>
        <w:t>in-depth discussions and relationship</w:t>
      </w:r>
      <w:r w:rsidR="001177BC">
        <w:rPr>
          <w:rFonts w:asciiTheme="minorHAnsi" w:hAnsiTheme="minorHAnsi" w:cs="Arial"/>
        </w:rPr>
        <w:t>s with local officers of the Metropolitan Police</w:t>
      </w:r>
      <w:r w:rsidR="001177BC" w:rsidRPr="001177BC">
        <w:rPr>
          <w:rFonts w:asciiTheme="minorHAnsi" w:hAnsiTheme="minorHAnsi" w:cs="Arial"/>
        </w:rPr>
        <w:t xml:space="preserve"> and B</w:t>
      </w:r>
      <w:r w:rsidR="001177BC">
        <w:rPr>
          <w:rFonts w:asciiTheme="minorHAnsi" w:hAnsiTheme="minorHAnsi" w:cs="Arial"/>
        </w:rPr>
        <w:t xml:space="preserve">ritish </w:t>
      </w:r>
      <w:r w:rsidR="001177BC" w:rsidRPr="001177BC">
        <w:rPr>
          <w:rFonts w:asciiTheme="minorHAnsi" w:hAnsiTheme="minorHAnsi" w:cs="Arial"/>
        </w:rPr>
        <w:t>T</w:t>
      </w:r>
      <w:r w:rsidR="001177BC">
        <w:rPr>
          <w:rFonts w:asciiTheme="minorHAnsi" w:hAnsiTheme="minorHAnsi" w:cs="Arial"/>
        </w:rPr>
        <w:t xml:space="preserve">ransport </w:t>
      </w:r>
      <w:r w:rsidR="001177BC" w:rsidRPr="001177BC">
        <w:rPr>
          <w:rFonts w:asciiTheme="minorHAnsi" w:hAnsiTheme="minorHAnsi" w:cs="Arial"/>
        </w:rPr>
        <w:t>P</w:t>
      </w:r>
      <w:r w:rsidR="001177BC">
        <w:rPr>
          <w:rFonts w:asciiTheme="minorHAnsi" w:hAnsiTheme="minorHAnsi" w:cs="Arial"/>
        </w:rPr>
        <w:t xml:space="preserve">olice.  </w:t>
      </w:r>
    </w:p>
    <w:p w:rsidR="00A11639" w:rsidRPr="00D4092C" w:rsidRDefault="00A11639" w:rsidP="00D4092C">
      <w:pPr>
        <w:pStyle w:val="Subtitle"/>
        <w:rPr>
          <w:rFonts w:asciiTheme="minorHAnsi" w:hAnsiTheme="minorHAnsi"/>
          <w:color w:val="auto"/>
        </w:rPr>
      </w:pPr>
      <w:r w:rsidRPr="00D4092C">
        <w:rPr>
          <w:rFonts w:asciiTheme="minorHAnsi" w:hAnsiTheme="minorHAnsi"/>
          <w:color w:val="auto"/>
        </w:rPr>
        <w:t>Zero Suicide London</w:t>
      </w:r>
    </w:p>
    <w:p w:rsidR="00F25EF0" w:rsidRDefault="00A11639" w:rsidP="002527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Thrive LDN have partnered with the London Mayor and</w:t>
      </w:r>
      <w:r w:rsidRPr="00A11639">
        <w:rPr>
          <w:rFonts w:asciiTheme="minorHAnsi" w:hAnsiTheme="minorHAnsi" w:cs="Arial"/>
        </w:rPr>
        <w:t xml:space="preserve"> the Zero Suicide Alliance, </w:t>
      </w:r>
      <w:r w:rsidR="002527A3">
        <w:rPr>
          <w:rFonts w:asciiTheme="minorHAnsi" w:hAnsiTheme="minorHAnsi" w:cs="Arial"/>
        </w:rPr>
        <w:t xml:space="preserve">to undertake a city wide movement to encourage 100,000 Londoners to take up a free training program to help anyone taking the training </w:t>
      </w:r>
      <w:r w:rsidRPr="00A11639">
        <w:rPr>
          <w:rFonts w:asciiTheme="minorHAnsi" w:hAnsiTheme="minorHAnsi" w:cs="Arial"/>
        </w:rPr>
        <w:t xml:space="preserve"> to be able to identify</w:t>
      </w:r>
      <w:r w:rsidR="002527A3">
        <w:rPr>
          <w:rFonts w:asciiTheme="minorHAnsi" w:hAnsiTheme="minorHAnsi" w:cs="Arial"/>
        </w:rPr>
        <w:t xml:space="preserve"> warning signs and </w:t>
      </w:r>
      <w:r w:rsidRPr="00A11639">
        <w:rPr>
          <w:rFonts w:asciiTheme="minorHAnsi" w:hAnsiTheme="minorHAnsi" w:cs="Arial"/>
        </w:rPr>
        <w:t>feel comfortable having conversations about suicide.</w:t>
      </w:r>
      <w:r w:rsidR="00C323A7">
        <w:rPr>
          <w:rFonts w:asciiTheme="minorHAnsi" w:hAnsiTheme="minorHAnsi" w:cs="Arial"/>
        </w:rPr>
        <w:t xml:space="preserve">  The free suicide prevention training can be found here:  </w:t>
      </w:r>
      <w:hyperlink r:id="rId12" w:history="1">
        <w:r w:rsidR="00C323A7" w:rsidRPr="00C323A7">
          <w:rPr>
            <w:rStyle w:val="Hyperlink"/>
            <w:rFonts w:asciiTheme="minorHAnsi" w:hAnsiTheme="minorHAnsi" w:cs="Arial"/>
          </w:rPr>
          <w:t>Zero Suicide London</w:t>
        </w:r>
      </w:hyperlink>
    </w:p>
    <w:p w:rsidR="00774DF7" w:rsidRDefault="00774DF7" w:rsidP="00D4092C">
      <w:pPr>
        <w:pStyle w:val="Subtitle"/>
        <w:rPr>
          <w:rFonts w:asciiTheme="minorHAnsi" w:hAnsiTheme="minorHAnsi"/>
          <w:color w:val="auto"/>
        </w:rPr>
      </w:pPr>
    </w:p>
    <w:p w:rsidR="00076011" w:rsidRPr="00D4092C" w:rsidRDefault="000F5F93" w:rsidP="00D4092C">
      <w:pPr>
        <w:pStyle w:val="Subtitle"/>
        <w:rPr>
          <w:rFonts w:asciiTheme="minorHAnsi" w:hAnsiTheme="minorHAnsi" w:cs="Arial"/>
          <w:color w:val="auto"/>
        </w:rPr>
      </w:pPr>
      <w:proofErr w:type="gramStart"/>
      <w:r w:rsidRPr="00D4092C">
        <w:rPr>
          <w:rFonts w:asciiTheme="minorHAnsi" w:hAnsiTheme="minorHAnsi"/>
          <w:color w:val="auto"/>
        </w:rPr>
        <w:lastRenderedPageBreak/>
        <w:t>Local Context</w:t>
      </w:r>
      <w:r w:rsidR="00385752" w:rsidRPr="00D4092C">
        <w:rPr>
          <w:rStyle w:val="FootnoteReference"/>
          <w:rFonts w:asciiTheme="minorHAnsi" w:hAnsiTheme="minorHAnsi"/>
          <w:b/>
          <w:color w:val="auto"/>
        </w:rPr>
        <w:footnoteReference w:id="6"/>
      </w:r>
      <w:r w:rsidRPr="00D4092C">
        <w:rPr>
          <w:rFonts w:asciiTheme="minorHAnsi" w:hAnsiTheme="minorHAnsi"/>
          <w:color w:val="auto"/>
        </w:rPr>
        <w:t>.</w:t>
      </w:r>
      <w:proofErr w:type="gramEnd"/>
    </w:p>
    <w:p w:rsidR="008B6038" w:rsidRPr="008B6038" w:rsidRDefault="000F5F93" w:rsidP="008B6038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385752">
        <w:rPr>
          <w:rFonts w:asciiTheme="minorHAnsi" w:hAnsiTheme="minorHAnsi" w:cs="Arial"/>
        </w:rPr>
        <w:t xml:space="preserve">Brent and Harrow public health team are yet to undertake an audit with the local </w:t>
      </w:r>
      <w:proofErr w:type="gramStart"/>
      <w:r w:rsidRPr="00385752">
        <w:rPr>
          <w:rFonts w:asciiTheme="minorHAnsi" w:hAnsiTheme="minorHAnsi" w:cs="Arial"/>
        </w:rPr>
        <w:t>coroners</w:t>
      </w:r>
      <w:proofErr w:type="gramEnd"/>
      <w:r w:rsidRPr="00385752">
        <w:rPr>
          <w:rFonts w:asciiTheme="minorHAnsi" w:hAnsiTheme="minorHAnsi" w:cs="Arial"/>
        </w:rPr>
        <w:t xml:space="preserve"> office. </w:t>
      </w:r>
      <w:r w:rsidR="00F25EF0">
        <w:rPr>
          <w:rFonts w:asciiTheme="minorHAnsi" w:hAnsiTheme="minorHAnsi" w:cs="Arial"/>
        </w:rPr>
        <w:t xml:space="preserve"> Current</w:t>
      </w:r>
      <w:r w:rsidR="00502134">
        <w:rPr>
          <w:rFonts w:asciiTheme="minorHAnsi" w:hAnsiTheme="minorHAnsi" w:cs="Arial"/>
        </w:rPr>
        <w:t>ly</w:t>
      </w:r>
      <w:proofErr w:type="gramStart"/>
      <w:r w:rsidR="00502134">
        <w:rPr>
          <w:rFonts w:asciiTheme="minorHAnsi" w:hAnsiTheme="minorHAnsi" w:cs="Arial"/>
        </w:rPr>
        <w:t>,  Public</w:t>
      </w:r>
      <w:proofErr w:type="gramEnd"/>
      <w:r w:rsidR="00502134">
        <w:rPr>
          <w:rFonts w:asciiTheme="minorHAnsi" w:hAnsiTheme="minorHAnsi" w:cs="Arial"/>
        </w:rPr>
        <w:t xml:space="preserve"> H</w:t>
      </w:r>
      <w:r w:rsidR="008B6038">
        <w:rPr>
          <w:rFonts w:asciiTheme="minorHAnsi" w:hAnsiTheme="minorHAnsi" w:cs="Arial"/>
        </w:rPr>
        <w:t>ealth</w:t>
      </w:r>
      <w:r w:rsidR="00502134">
        <w:rPr>
          <w:rFonts w:asciiTheme="minorHAnsi" w:hAnsiTheme="minorHAnsi" w:cs="Arial"/>
        </w:rPr>
        <w:t xml:space="preserve"> teams</w:t>
      </w:r>
      <w:r w:rsidR="008B6038">
        <w:rPr>
          <w:rFonts w:asciiTheme="minorHAnsi" w:hAnsiTheme="minorHAnsi" w:cs="Arial"/>
        </w:rPr>
        <w:t xml:space="preserve"> cannot access the coroners</w:t>
      </w:r>
      <w:r w:rsidR="00F25EF0">
        <w:rPr>
          <w:rFonts w:asciiTheme="minorHAnsi" w:hAnsiTheme="minorHAnsi" w:cs="Arial"/>
        </w:rPr>
        <w:t xml:space="preserve"> to inform suicide numbers</w:t>
      </w:r>
      <w:r w:rsidR="008B6038">
        <w:rPr>
          <w:rFonts w:asciiTheme="minorHAnsi" w:hAnsiTheme="minorHAnsi" w:cs="Arial"/>
        </w:rPr>
        <w:t xml:space="preserve"> locally, due to significant changes across London.  There will be s</w:t>
      </w:r>
      <w:r w:rsidR="008B6038" w:rsidRPr="008B6038">
        <w:rPr>
          <w:rFonts w:asciiTheme="minorHAnsi" w:hAnsiTheme="minorHAnsi" w:cs="Arial"/>
        </w:rPr>
        <w:t xml:space="preserve">even new partnerships </w:t>
      </w:r>
      <w:r w:rsidR="008B6038">
        <w:rPr>
          <w:rFonts w:asciiTheme="minorHAnsi" w:hAnsiTheme="minorHAnsi" w:cs="Arial"/>
        </w:rPr>
        <w:t>which will</w:t>
      </w:r>
      <w:r w:rsidR="008B6038" w:rsidRPr="008B6038">
        <w:rPr>
          <w:rFonts w:asciiTheme="minorHAnsi" w:hAnsiTheme="minorHAnsi" w:cs="Arial"/>
        </w:rPr>
        <w:t xml:space="preserve"> come together across London to implement and manage these new systems. </w:t>
      </w:r>
      <w:r w:rsidR="008B6038">
        <w:rPr>
          <w:rFonts w:asciiTheme="minorHAnsi" w:hAnsiTheme="minorHAnsi" w:cs="Arial"/>
        </w:rPr>
        <w:t xml:space="preserve">As new partnerships, there is a responsibility for the partnership  to </w:t>
      </w:r>
      <w:r w:rsidR="008B6038" w:rsidRPr="008B6038">
        <w:rPr>
          <w:rFonts w:asciiTheme="minorHAnsi" w:hAnsiTheme="minorHAnsi" w:cs="Arial"/>
        </w:rPr>
        <w:t>implement new processes; collect a standardised</w:t>
      </w:r>
      <w:r w:rsidR="008B6038">
        <w:rPr>
          <w:rFonts w:asciiTheme="minorHAnsi" w:hAnsiTheme="minorHAnsi" w:cs="Arial"/>
        </w:rPr>
        <w:t xml:space="preserve"> </w:t>
      </w:r>
      <w:r w:rsidR="008B6038" w:rsidRPr="008B6038">
        <w:rPr>
          <w:rFonts w:asciiTheme="minorHAnsi" w:hAnsiTheme="minorHAnsi" w:cs="Arial"/>
        </w:rPr>
        <w:t>dataset; ensure multi-agency input; undertake</w:t>
      </w:r>
      <w:r w:rsidR="008B6038">
        <w:rPr>
          <w:rFonts w:asciiTheme="minorHAnsi" w:hAnsiTheme="minorHAnsi" w:cs="Arial"/>
        </w:rPr>
        <w:t xml:space="preserve"> </w:t>
      </w:r>
      <w:r w:rsidR="008B6038" w:rsidRPr="008B6038">
        <w:rPr>
          <w:rFonts w:asciiTheme="minorHAnsi" w:hAnsiTheme="minorHAnsi" w:cs="Arial"/>
        </w:rPr>
        <w:t>thematic learning; and provide routine support to</w:t>
      </w:r>
    </w:p>
    <w:p w:rsidR="008B6038" w:rsidRPr="00345B76" w:rsidRDefault="008B6038" w:rsidP="00345B76">
      <w:pPr>
        <w:pStyle w:val="ListParagraph"/>
        <w:rPr>
          <w:rFonts w:asciiTheme="minorHAnsi" w:hAnsiTheme="minorHAnsi" w:cs="Arial"/>
        </w:rPr>
      </w:pPr>
      <w:proofErr w:type="gramStart"/>
      <w:r w:rsidRPr="008B6038">
        <w:rPr>
          <w:rFonts w:asciiTheme="minorHAnsi" w:hAnsiTheme="minorHAnsi" w:cs="Arial"/>
        </w:rPr>
        <w:t>bereaved</w:t>
      </w:r>
      <w:proofErr w:type="gramEnd"/>
      <w:r w:rsidRPr="008B6038">
        <w:rPr>
          <w:rFonts w:asciiTheme="minorHAnsi" w:hAnsiTheme="minorHAnsi" w:cs="Arial"/>
        </w:rPr>
        <w:t xml:space="preserve"> families.</w:t>
      </w:r>
      <w:r>
        <w:rPr>
          <w:rFonts w:asciiTheme="minorHAnsi" w:hAnsiTheme="minorHAnsi" w:cs="Arial"/>
        </w:rPr>
        <w:t xml:space="preserve">  </w:t>
      </w:r>
      <w:r w:rsidR="000F5F93" w:rsidRPr="00385752">
        <w:rPr>
          <w:rFonts w:asciiTheme="minorHAnsi" w:hAnsiTheme="minorHAnsi" w:cs="Arial"/>
        </w:rPr>
        <w:t xml:space="preserve">Hence, there is currently some uncertainty regarding the exact </w:t>
      </w:r>
      <w:proofErr w:type="gramStart"/>
      <w:r w:rsidR="000F5F93" w:rsidRPr="00385752">
        <w:rPr>
          <w:rFonts w:asciiTheme="minorHAnsi" w:hAnsiTheme="minorHAnsi" w:cs="Arial"/>
        </w:rPr>
        <w:t>number ,</w:t>
      </w:r>
      <w:proofErr w:type="gramEnd"/>
      <w:r w:rsidR="000F5F93" w:rsidRPr="00385752">
        <w:rPr>
          <w:rFonts w:asciiTheme="minorHAnsi" w:hAnsiTheme="minorHAnsi" w:cs="Arial"/>
        </w:rPr>
        <w:t xml:space="preserve"> breakdown by age and gender, method of death  and other such demographic data over time</w:t>
      </w:r>
      <w:r w:rsidR="00F25EF0">
        <w:rPr>
          <w:rFonts w:asciiTheme="minorHAnsi" w:hAnsiTheme="minorHAnsi" w:cs="Arial"/>
        </w:rPr>
        <w:t xml:space="preserve"> that</w:t>
      </w:r>
      <w:r w:rsidR="000F5F93" w:rsidRPr="00385752">
        <w:rPr>
          <w:rFonts w:asciiTheme="minorHAnsi" w:hAnsiTheme="minorHAnsi" w:cs="Arial"/>
        </w:rPr>
        <w:t xml:space="preserve"> is not available.  </w:t>
      </w:r>
    </w:p>
    <w:p w:rsidR="000A7BBA" w:rsidRDefault="00F25EF0" w:rsidP="008B6038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8B6038">
        <w:rPr>
          <w:rFonts w:asciiTheme="minorHAnsi" w:hAnsiTheme="minorHAnsi" w:cs="Arial"/>
        </w:rPr>
        <w:t>Thrive LDN</w:t>
      </w:r>
      <w:r w:rsidR="00345B76">
        <w:rPr>
          <w:rFonts w:asciiTheme="minorHAnsi" w:hAnsiTheme="minorHAnsi" w:cs="Arial"/>
        </w:rPr>
        <w:t xml:space="preserve"> </w:t>
      </w:r>
      <w:r w:rsidR="00502134">
        <w:rPr>
          <w:rFonts w:asciiTheme="minorHAnsi" w:hAnsiTheme="minorHAnsi" w:cs="Arial"/>
        </w:rPr>
        <w:t xml:space="preserve">have now </w:t>
      </w:r>
      <w:r w:rsidRPr="008B6038">
        <w:rPr>
          <w:rFonts w:asciiTheme="minorHAnsi" w:hAnsiTheme="minorHAnsi" w:cs="Arial"/>
        </w:rPr>
        <w:t>formalise</w:t>
      </w:r>
      <w:r w:rsidR="00502134">
        <w:rPr>
          <w:rFonts w:asciiTheme="minorHAnsi" w:hAnsiTheme="minorHAnsi" w:cs="Arial"/>
        </w:rPr>
        <w:t>d the Pan-London I</w:t>
      </w:r>
      <w:r w:rsidRPr="008B6038">
        <w:rPr>
          <w:rFonts w:asciiTheme="minorHAnsi" w:hAnsiTheme="minorHAnsi" w:cs="Arial"/>
        </w:rPr>
        <w:t>nformati</w:t>
      </w:r>
      <w:r w:rsidR="00502134">
        <w:rPr>
          <w:rFonts w:asciiTheme="minorHAnsi" w:hAnsiTheme="minorHAnsi" w:cs="Arial"/>
        </w:rPr>
        <w:t>on Hub overseen and held by the London Metropolitan Police.  The Hub will enable</w:t>
      </w:r>
      <w:r w:rsidR="00345B76">
        <w:rPr>
          <w:rFonts w:asciiTheme="minorHAnsi" w:hAnsiTheme="minorHAnsi" w:cs="Arial"/>
        </w:rPr>
        <w:t xml:space="preserve"> data and information to</w:t>
      </w:r>
      <w:r w:rsidR="000A7BBA" w:rsidRPr="008B6038">
        <w:rPr>
          <w:rFonts w:asciiTheme="minorHAnsi" w:hAnsiTheme="minorHAnsi" w:cs="Arial"/>
        </w:rPr>
        <w:t xml:space="preserve"> be</w:t>
      </w:r>
      <w:r w:rsidR="00345B76">
        <w:rPr>
          <w:rFonts w:asciiTheme="minorHAnsi" w:hAnsiTheme="minorHAnsi" w:cs="Arial"/>
        </w:rPr>
        <w:t>come</w:t>
      </w:r>
      <w:r w:rsidR="000A7BBA" w:rsidRPr="008B6038">
        <w:rPr>
          <w:rFonts w:asciiTheme="minorHAnsi" w:hAnsiTheme="minorHAnsi" w:cs="Arial"/>
        </w:rPr>
        <w:t xml:space="preserve"> </w:t>
      </w:r>
      <w:r w:rsidR="008B6038" w:rsidRPr="008B6038">
        <w:rPr>
          <w:rFonts w:asciiTheme="minorHAnsi" w:hAnsiTheme="minorHAnsi" w:cs="Arial"/>
        </w:rPr>
        <w:t>available</w:t>
      </w:r>
      <w:r w:rsidR="00345B76">
        <w:rPr>
          <w:rFonts w:asciiTheme="minorHAnsi" w:hAnsiTheme="minorHAnsi" w:cs="Arial"/>
        </w:rPr>
        <w:t xml:space="preserve"> across </w:t>
      </w:r>
      <w:r w:rsidR="00502134">
        <w:rPr>
          <w:rFonts w:asciiTheme="minorHAnsi" w:hAnsiTheme="minorHAnsi" w:cs="Arial"/>
        </w:rPr>
        <w:t xml:space="preserve">all </w:t>
      </w:r>
      <w:r w:rsidR="00345B76">
        <w:rPr>
          <w:rFonts w:asciiTheme="minorHAnsi" w:hAnsiTheme="minorHAnsi" w:cs="Arial"/>
        </w:rPr>
        <w:t>London boroughs</w:t>
      </w:r>
      <w:r w:rsidR="00502134">
        <w:rPr>
          <w:rFonts w:asciiTheme="minorHAnsi" w:hAnsiTheme="minorHAnsi" w:cs="Arial"/>
        </w:rPr>
        <w:t xml:space="preserve"> by S</w:t>
      </w:r>
      <w:r w:rsidR="00967C9A">
        <w:rPr>
          <w:rFonts w:asciiTheme="minorHAnsi" w:hAnsiTheme="minorHAnsi" w:cs="Arial"/>
        </w:rPr>
        <w:t>ustainability and Transformation Partnership (STP)</w:t>
      </w:r>
      <w:r w:rsidR="008B6038" w:rsidRPr="008B6038">
        <w:rPr>
          <w:rFonts w:asciiTheme="minorHAnsi" w:hAnsiTheme="minorHAnsi" w:cs="Arial"/>
        </w:rPr>
        <w:t>.</w:t>
      </w:r>
      <w:r w:rsidR="00502134">
        <w:rPr>
          <w:rFonts w:asciiTheme="minorHAnsi" w:hAnsiTheme="minorHAnsi" w:cs="Arial"/>
        </w:rPr>
        <w:t xml:space="preserve">  The data will support boroughs to look at patterns and interrogate a larger database to establish patterns, hot spots and themes.  The process is,  f</w:t>
      </w:r>
      <w:r w:rsidR="00872F2A">
        <w:rPr>
          <w:rFonts w:asciiTheme="minorHAnsi" w:hAnsiTheme="minorHAnsi" w:cs="Arial"/>
        </w:rPr>
        <w:t>ol</w:t>
      </w:r>
      <w:r w:rsidR="00502134">
        <w:rPr>
          <w:rFonts w:asciiTheme="minorHAnsi" w:hAnsiTheme="minorHAnsi" w:cs="Arial"/>
        </w:rPr>
        <w:t xml:space="preserve">lowing </w:t>
      </w:r>
      <w:r w:rsidR="00872F2A">
        <w:rPr>
          <w:rFonts w:asciiTheme="minorHAnsi" w:hAnsiTheme="minorHAnsi" w:cs="Arial"/>
        </w:rPr>
        <w:t>a  suspected suicide, data will be sent in the following order:</w:t>
      </w:r>
    </w:p>
    <w:p w:rsidR="00872F2A" w:rsidRDefault="00502134" w:rsidP="00502134">
      <w:pPr>
        <w:pStyle w:val="ListParagraph"/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Category A Access:  London Metropolitan Police, London Ambulance Service, British Transport Police and NHS Trusts (Mental Health)</w:t>
      </w:r>
    </w:p>
    <w:p w:rsidR="00502134" w:rsidRDefault="00502134" w:rsidP="00502134">
      <w:pPr>
        <w:pStyle w:val="ListParagraph"/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Category B Access: A defined professional within the Local Authority.  For Harrow and Brent this will be with the Public Health Teams.</w:t>
      </w:r>
    </w:p>
    <w:p w:rsidR="00502134" w:rsidRPr="00502134" w:rsidRDefault="00967C9A" w:rsidP="0050213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NHS NW London STP has received funding from NHS England and NHS Improvement to set up a service supporting people bereaved by suicide.  </w:t>
      </w:r>
      <w:r w:rsidR="009D695A">
        <w:rPr>
          <w:rFonts w:asciiTheme="minorHAnsi" w:hAnsiTheme="minorHAnsi" w:cs="Arial"/>
        </w:rPr>
        <w:t>The Postvention service is currently in development and will need to be set up by March/April 2020.  Part of the development of the service will include capacity building by developing and rolling out training with services that offer bereavement counselling and support services.</w:t>
      </w:r>
    </w:p>
    <w:p w:rsidR="00345B76" w:rsidRPr="00D4092C" w:rsidRDefault="00302043" w:rsidP="00D4092C">
      <w:pPr>
        <w:pStyle w:val="Heading2"/>
        <w:rPr>
          <w:rFonts w:asciiTheme="minorHAnsi" w:hAnsiTheme="minorHAnsi"/>
          <w:color w:val="auto"/>
        </w:rPr>
      </w:pPr>
      <w:bookmarkStart w:id="6" w:name="_Toc26097756"/>
      <w:bookmarkStart w:id="7" w:name="_Toc26099776"/>
      <w:r w:rsidRPr="00D4092C">
        <w:rPr>
          <w:rFonts w:asciiTheme="minorHAnsi" w:hAnsiTheme="minorHAnsi"/>
          <w:color w:val="auto"/>
        </w:rPr>
        <w:t>Risk Factors and Data</w:t>
      </w:r>
      <w:bookmarkEnd w:id="6"/>
      <w:bookmarkEnd w:id="7"/>
    </w:p>
    <w:p w:rsidR="000F5F93" w:rsidRPr="008B6038" w:rsidRDefault="00302043" w:rsidP="0030204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302043">
        <w:rPr>
          <w:rFonts w:asciiTheme="minorHAnsi" w:hAnsiTheme="minorHAnsi" w:cs="Arial"/>
        </w:rPr>
        <w:t>In England and Wales, suicide is defined as deaths given an underlying cause of intentional self-harm or injury/poisoning of undetermined intent.</w:t>
      </w:r>
      <w:r>
        <w:rPr>
          <w:rFonts w:asciiTheme="minorHAnsi" w:hAnsiTheme="minorHAnsi" w:cs="Arial"/>
        </w:rPr>
        <w:t xml:space="preserve">  </w:t>
      </w:r>
      <w:r w:rsidR="000F5F93" w:rsidRPr="008B6038">
        <w:rPr>
          <w:rFonts w:asciiTheme="minorHAnsi" w:hAnsiTheme="minorHAnsi" w:cs="Arial"/>
        </w:rPr>
        <w:t xml:space="preserve">Public Health England (PHE) Fingertips tool allows some insight into mental health and suicide data.  This is collected by a combination of local CCG and Local Authority individual rates.  </w:t>
      </w:r>
      <w:r w:rsidR="00CF2BA0" w:rsidRPr="008B6038">
        <w:rPr>
          <w:rFonts w:asciiTheme="minorHAnsi" w:hAnsiTheme="minorHAnsi" w:cs="Arial"/>
        </w:rPr>
        <w:t xml:space="preserve">  </w:t>
      </w:r>
    </w:p>
    <w:p w:rsidR="00CD0350" w:rsidRPr="00385752" w:rsidRDefault="00302043" w:rsidP="00385752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Specific risk factors associated with suicide include  the </w:t>
      </w:r>
      <w:r w:rsidR="00CD0350" w:rsidRPr="00385752">
        <w:rPr>
          <w:rFonts w:asciiTheme="minorHAnsi" w:hAnsiTheme="minorHAnsi" w:cs="Arial"/>
        </w:rPr>
        <w:t xml:space="preserve">occurrence of common mental </w:t>
      </w:r>
      <w:r w:rsidR="00FC208C">
        <w:rPr>
          <w:rFonts w:asciiTheme="minorHAnsi" w:hAnsiTheme="minorHAnsi" w:cs="Arial"/>
        </w:rPr>
        <w:t xml:space="preserve">health </w:t>
      </w:r>
      <w:r w:rsidR="00CD0350" w:rsidRPr="00385752">
        <w:rPr>
          <w:rFonts w:asciiTheme="minorHAnsi" w:hAnsiTheme="minorHAnsi" w:cs="Arial"/>
        </w:rPr>
        <w:t>disorders in people ag</w:t>
      </w:r>
      <w:r w:rsidR="00FC208C">
        <w:rPr>
          <w:rFonts w:asciiTheme="minorHAnsi" w:hAnsiTheme="minorHAnsi" w:cs="Arial"/>
        </w:rPr>
        <w:t>ed 16</w:t>
      </w:r>
      <w:r w:rsidR="00CD0350" w:rsidRPr="00385752">
        <w:rPr>
          <w:rFonts w:asciiTheme="minorHAnsi" w:hAnsiTheme="minorHAnsi" w:cs="Arial"/>
        </w:rPr>
        <w:t xml:space="preserve"> and over in 2017 for Harrow CCG</w:t>
      </w:r>
      <w:r>
        <w:rPr>
          <w:rFonts w:asciiTheme="minorHAnsi" w:hAnsiTheme="minorHAnsi" w:cs="Arial"/>
        </w:rPr>
        <w:t xml:space="preserve">  was 15.6% which was significantly better than the England benchmark of  16.9% and when compared to London which was 19.3%. These </w:t>
      </w:r>
      <w:r w:rsidR="00385752" w:rsidRPr="00385752">
        <w:rPr>
          <w:rFonts w:asciiTheme="minorHAnsi" w:hAnsiTheme="minorHAnsi" w:cs="Arial"/>
        </w:rPr>
        <w:t>are</w:t>
      </w:r>
      <w:r>
        <w:rPr>
          <w:rFonts w:asciiTheme="minorHAnsi" w:hAnsiTheme="minorHAnsi" w:cs="Arial"/>
        </w:rPr>
        <w:t xml:space="preserve"> estimated synthesised figures.</w:t>
      </w:r>
    </w:p>
    <w:p w:rsidR="00385752" w:rsidRPr="002B2B87" w:rsidRDefault="00385752" w:rsidP="002B2B87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385752">
        <w:rPr>
          <w:rFonts w:asciiTheme="minorHAnsi" w:hAnsiTheme="minorHAnsi" w:cs="Arial"/>
        </w:rPr>
        <w:lastRenderedPageBreak/>
        <w:t xml:space="preserve">Recent trends show that the occurrence of depression is </w:t>
      </w:r>
      <w:r w:rsidR="00302043">
        <w:rPr>
          <w:rFonts w:asciiTheme="minorHAnsi" w:hAnsiTheme="minorHAnsi" w:cs="Arial"/>
        </w:rPr>
        <w:t>on the increase.  In 2017, Harrow</w:t>
      </w:r>
      <w:r w:rsidRPr="00385752">
        <w:rPr>
          <w:rFonts w:asciiTheme="minorHAnsi" w:hAnsiTheme="minorHAnsi" w:cs="Arial"/>
        </w:rPr>
        <w:t xml:space="preserve"> CCG shows that there </w:t>
      </w:r>
      <w:proofErr w:type="gramStart"/>
      <w:r w:rsidRPr="00385752">
        <w:rPr>
          <w:rFonts w:asciiTheme="minorHAnsi" w:hAnsiTheme="minorHAnsi" w:cs="Arial"/>
        </w:rPr>
        <w:t>were</w:t>
      </w:r>
      <w:r w:rsidR="00302043">
        <w:rPr>
          <w:rFonts w:asciiTheme="minorHAnsi" w:hAnsiTheme="minorHAnsi" w:cs="Arial"/>
        </w:rPr>
        <w:t xml:space="preserve"> </w:t>
      </w:r>
      <w:r w:rsidRPr="00385752">
        <w:rPr>
          <w:rFonts w:asciiTheme="minorHAnsi" w:hAnsiTheme="minorHAnsi" w:cs="Arial"/>
        </w:rPr>
        <w:t xml:space="preserve"> </w:t>
      </w:r>
      <w:r w:rsidR="00302043">
        <w:rPr>
          <w:rFonts w:asciiTheme="minorHAnsi" w:hAnsiTheme="minorHAnsi" w:cs="Arial"/>
        </w:rPr>
        <w:t>6.1</w:t>
      </w:r>
      <w:proofErr w:type="gramEnd"/>
      <w:r w:rsidR="00302043">
        <w:rPr>
          <w:rFonts w:asciiTheme="minorHAnsi" w:hAnsiTheme="minorHAnsi" w:cs="Arial"/>
        </w:rPr>
        <w:t xml:space="preserve">% </w:t>
      </w:r>
      <w:r w:rsidRPr="00385752">
        <w:rPr>
          <w:rFonts w:asciiTheme="minorHAnsi" w:hAnsiTheme="minorHAnsi" w:cs="Arial"/>
        </w:rPr>
        <w:t xml:space="preserve"> of people with depression on GP </w:t>
      </w:r>
      <w:r w:rsidR="00302043">
        <w:rPr>
          <w:rFonts w:asciiTheme="minorHAnsi" w:hAnsiTheme="minorHAnsi" w:cs="Arial"/>
        </w:rPr>
        <w:t xml:space="preserve">registers. </w:t>
      </w:r>
      <w:r w:rsidRPr="00385752">
        <w:rPr>
          <w:rFonts w:asciiTheme="minorHAnsi" w:hAnsiTheme="minorHAnsi" w:cs="Arial"/>
        </w:rPr>
        <w:t>Whilst the trend is increasing across NHS London region, these proportions are significantly better than NHS London which is 7.1%</w:t>
      </w:r>
    </w:p>
    <w:p w:rsidR="00DB43B8" w:rsidRPr="0080412F" w:rsidRDefault="005C3291" w:rsidP="0080412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ONS data on the number of suicides recorded per year show that in the last </w:t>
      </w:r>
      <w:r w:rsidR="00246039">
        <w:rPr>
          <w:rFonts w:asciiTheme="minorHAnsi" w:hAnsiTheme="minorHAnsi" w:cs="Arial"/>
        </w:rPr>
        <w:t>seven years the number</w:t>
      </w:r>
      <w:r>
        <w:rPr>
          <w:rFonts w:asciiTheme="minorHAnsi" w:hAnsiTheme="minorHAnsi" w:cs="Arial"/>
        </w:rPr>
        <w:t>s</w:t>
      </w:r>
      <w:r w:rsidR="00246039">
        <w:rPr>
          <w:rFonts w:asciiTheme="minorHAnsi" w:hAnsiTheme="minorHAnsi" w:cs="Arial"/>
        </w:rPr>
        <w:t xml:space="preserve"> of suicide deaths </w:t>
      </w:r>
      <w:r>
        <w:rPr>
          <w:rFonts w:asciiTheme="minorHAnsi" w:hAnsiTheme="minorHAnsi" w:cs="Arial"/>
        </w:rPr>
        <w:t>have varied</w:t>
      </w:r>
      <w:r w:rsidR="00246039">
        <w:rPr>
          <w:rFonts w:asciiTheme="minorHAnsi" w:hAnsiTheme="minorHAnsi" w:cs="Arial"/>
        </w:rPr>
        <w:t xml:space="preserve"> significantly </w:t>
      </w:r>
      <w:r w:rsidR="00337617">
        <w:rPr>
          <w:rFonts w:asciiTheme="minorHAnsi" w:hAnsiTheme="minorHAnsi" w:cs="Arial"/>
        </w:rPr>
        <w:t>between the boroughs</w:t>
      </w:r>
      <w:r w:rsidR="00AE17C9">
        <w:rPr>
          <w:rFonts w:asciiTheme="minorHAnsi" w:hAnsiTheme="minorHAnsi" w:cs="Arial"/>
        </w:rPr>
        <w:t>. Figure 1</w:t>
      </w:r>
      <w:r w:rsidR="00246039">
        <w:rPr>
          <w:rFonts w:asciiTheme="minorHAnsi" w:hAnsiTheme="minorHAnsi" w:cs="Arial"/>
        </w:rPr>
        <w:t xml:space="preserve"> shows the absolute numbers of suicides between 2012 -2018</w:t>
      </w:r>
      <w:r w:rsidR="001D5011">
        <w:rPr>
          <w:rFonts w:asciiTheme="minorHAnsi" w:hAnsiTheme="minorHAnsi" w:cs="Arial"/>
        </w:rPr>
        <w:t xml:space="preserve"> in Brent and Harrow</w:t>
      </w:r>
      <w:r w:rsidR="00246039">
        <w:rPr>
          <w:rFonts w:asciiTheme="minorHAnsi" w:hAnsiTheme="minorHAnsi" w:cs="Arial"/>
        </w:rPr>
        <w:t>.</w:t>
      </w:r>
    </w:p>
    <w:p w:rsidR="00D4092C" w:rsidRDefault="00D4092C" w:rsidP="00385752">
      <w:pPr>
        <w:pStyle w:val="ListParagraph"/>
        <w:rPr>
          <w:rFonts w:asciiTheme="minorHAnsi" w:hAnsiTheme="minorHAnsi" w:cs="Arial"/>
        </w:rPr>
      </w:pPr>
    </w:p>
    <w:p w:rsidR="00337617" w:rsidRPr="0080412F" w:rsidRDefault="00AE17C9" w:rsidP="00C323A7">
      <w:pPr>
        <w:spacing w:after="0" w:line="240" w:lineRule="auto"/>
        <w:ind w:firstLine="360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Figure 1</w:t>
      </w:r>
      <w:r w:rsidR="0080412F">
        <w:rPr>
          <w:rFonts w:asciiTheme="minorHAnsi" w:hAnsiTheme="minorHAnsi" w:cs="Arial"/>
          <w:b/>
        </w:rPr>
        <w:t>.</w:t>
      </w:r>
      <w:proofErr w:type="gramEnd"/>
      <w:r w:rsidR="0080412F">
        <w:rPr>
          <w:rFonts w:asciiTheme="minorHAnsi" w:hAnsiTheme="minorHAnsi" w:cs="Arial"/>
          <w:b/>
        </w:rPr>
        <w:t xml:space="preserve"> </w:t>
      </w:r>
      <w:r w:rsidR="00337617" w:rsidRPr="0080412F">
        <w:rPr>
          <w:rFonts w:asciiTheme="minorHAnsi" w:hAnsiTheme="minorHAnsi" w:cs="Arial"/>
          <w:b/>
        </w:rPr>
        <w:t>Number of absolute deaths per year in Brent and Harrow</w:t>
      </w:r>
    </w:p>
    <w:p w:rsidR="0080412F" w:rsidRPr="0080412F" w:rsidRDefault="0080412F" w:rsidP="0080412F">
      <w:pPr>
        <w:pStyle w:val="ListParagraph"/>
        <w:spacing w:after="0" w:line="240" w:lineRule="auto"/>
        <w:ind w:firstLine="720"/>
        <w:rPr>
          <w:rFonts w:asciiTheme="minorHAnsi" w:hAnsiTheme="minorHAnsi" w:cs="Arial"/>
          <w:b/>
          <w:sz w:val="16"/>
        </w:rPr>
      </w:pPr>
    </w:p>
    <w:p w:rsidR="0080412F" w:rsidRPr="00C323A7" w:rsidRDefault="001D5011" w:rsidP="00C323A7">
      <w:pPr>
        <w:pStyle w:val="ListParagraph"/>
        <w:rPr>
          <w:rFonts w:asciiTheme="minorHAnsi" w:hAnsiTheme="minorHAnsi" w:cs="Arial"/>
        </w:rPr>
      </w:pPr>
      <w:r>
        <w:rPr>
          <w:noProof/>
          <w:lang w:eastAsia="en-GB"/>
        </w:rPr>
        <w:drawing>
          <wp:inline distT="0" distB="0" distL="0" distR="0" wp14:anchorId="17A1DBFA" wp14:editId="3780C7A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695A" w:rsidRDefault="00337617" w:rsidP="00C323A7">
      <w:pPr>
        <w:pStyle w:val="ListParagraph"/>
        <w:rPr>
          <w:rFonts w:asciiTheme="minorHAnsi" w:hAnsiTheme="minorHAnsi" w:cs="Arial"/>
          <w:sz w:val="18"/>
        </w:rPr>
      </w:pPr>
      <w:r w:rsidRPr="00337617">
        <w:rPr>
          <w:rFonts w:asciiTheme="minorHAnsi" w:hAnsiTheme="minorHAnsi" w:cs="Arial"/>
          <w:sz w:val="18"/>
        </w:rPr>
        <w:t>Source:  ONS Suicides in the UK: 2018 Registrations</w:t>
      </w:r>
    </w:p>
    <w:p w:rsidR="00C323A7" w:rsidRPr="00C323A7" w:rsidRDefault="00C323A7" w:rsidP="00C323A7">
      <w:pPr>
        <w:pStyle w:val="ListParagraph"/>
        <w:rPr>
          <w:rFonts w:asciiTheme="minorHAnsi" w:hAnsiTheme="minorHAnsi" w:cs="Arial"/>
          <w:sz w:val="18"/>
        </w:rPr>
      </w:pPr>
    </w:p>
    <w:p w:rsidR="00FC567A" w:rsidRDefault="00337617" w:rsidP="0080412F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However</w:t>
      </w:r>
      <w:proofErr w:type="gramStart"/>
      <w:r>
        <w:rPr>
          <w:rFonts w:asciiTheme="minorHAnsi" w:hAnsiTheme="minorHAnsi" w:cs="Arial"/>
        </w:rPr>
        <w:t>,  the</w:t>
      </w:r>
      <w:proofErr w:type="gramEnd"/>
      <w:r>
        <w:rPr>
          <w:rFonts w:asciiTheme="minorHAnsi" w:hAnsiTheme="minorHAnsi" w:cs="Arial"/>
        </w:rPr>
        <w:t xml:space="preserve"> </w:t>
      </w:r>
      <w:r w:rsidRPr="00337617">
        <w:rPr>
          <w:rFonts w:asciiTheme="minorHAnsi" w:hAnsiTheme="minorHAnsi" w:cs="Arial"/>
        </w:rPr>
        <w:t>rates</w:t>
      </w:r>
      <w:r w:rsidR="006770B9">
        <w:rPr>
          <w:rFonts w:asciiTheme="minorHAnsi" w:hAnsiTheme="minorHAnsi" w:cs="Arial"/>
        </w:rPr>
        <w:t xml:space="preserve"> of suicides within </w:t>
      </w:r>
      <w:r>
        <w:rPr>
          <w:rFonts w:asciiTheme="minorHAnsi" w:hAnsiTheme="minorHAnsi" w:cs="Arial"/>
        </w:rPr>
        <w:t>Brent and Harrow when  compared to England</w:t>
      </w:r>
      <w:r w:rsidR="00A01990">
        <w:rPr>
          <w:rFonts w:asciiTheme="minorHAnsi" w:hAnsiTheme="minorHAnsi" w:cs="Arial"/>
        </w:rPr>
        <w:t xml:space="preserve"> and London rates</w:t>
      </w:r>
      <w:r>
        <w:rPr>
          <w:rFonts w:asciiTheme="minorHAnsi" w:hAnsiTheme="minorHAnsi" w:cs="Arial"/>
        </w:rPr>
        <w:t>, show little sig</w:t>
      </w:r>
      <w:r w:rsidR="006770B9">
        <w:rPr>
          <w:rFonts w:asciiTheme="minorHAnsi" w:hAnsiTheme="minorHAnsi" w:cs="Arial"/>
        </w:rPr>
        <w:t>nificant difference between 2016-</w:t>
      </w:r>
      <w:r w:rsidR="00E27C00">
        <w:rPr>
          <w:rFonts w:asciiTheme="minorHAnsi" w:hAnsiTheme="minorHAnsi" w:cs="Arial"/>
        </w:rPr>
        <w:t xml:space="preserve">2018.  </w:t>
      </w:r>
      <w:r w:rsidR="0080412F">
        <w:rPr>
          <w:rFonts w:asciiTheme="minorHAnsi" w:hAnsiTheme="minorHAnsi" w:cs="Arial"/>
        </w:rPr>
        <w:t>The current rate of suicides in Brent and Harrow is current lower than t</w:t>
      </w:r>
      <w:r w:rsidR="00AE17C9">
        <w:rPr>
          <w:rFonts w:asciiTheme="minorHAnsi" w:hAnsiTheme="minorHAnsi" w:cs="Arial"/>
        </w:rPr>
        <w:t>he England rates.  See Table 1</w:t>
      </w:r>
    </w:p>
    <w:p w:rsidR="0080412F" w:rsidRDefault="0080412F" w:rsidP="0080412F">
      <w:pPr>
        <w:pStyle w:val="ListParagraph"/>
        <w:rPr>
          <w:rFonts w:asciiTheme="minorHAnsi" w:hAnsiTheme="minorHAnsi" w:cs="Arial"/>
        </w:rPr>
      </w:pPr>
    </w:p>
    <w:p w:rsidR="00D4092C" w:rsidRPr="00774DF7" w:rsidRDefault="00D4092C" w:rsidP="00774DF7">
      <w:pPr>
        <w:rPr>
          <w:rFonts w:asciiTheme="minorHAnsi" w:hAnsiTheme="minorHAnsi" w:cs="Arial"/>
        </w:rPr>
      </w:pPr>
    </w:p>
    <w:p w:rsidR="00D4092C" w:rsidRPr="0080412F" w:rsidRDefault="00D4092C" w:rsidP="0080412F">
      <w:pPr>
        <w:pStyle w:val="ListParagraph"/>
        <w:rPr>
          <w:rFonts w:asciiTheme="minorHAnsi" w:hAnsiTheme="minorHAnsi" w:cs="Arial"/>
        </w:rPr>
      </w:pPr>
    </w:p>
    <w:p w:rsidR="00B9060F" w:rsidRPr="004667E6" w:rsidRDefault="00AE17C9" w:rsidP="0080412F">
      <w:pPr>
        <w:pStyle w:val="ListParagraph"/>
        <w:spacing w:after="0" w:line="240" w:lineRule="auto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Table 1.</w:t>
      </w:r>
      <w:proofErr w:type="gramEnd"/>
      <w:r w:rsidR="0080412F" w:rsidRPr="004667E6">
        <w:rPr>
          <w:rFonts w:asciiTheme="minorHAnsi" w:hAnsiTheme="minorHAnsi" w:cs="Arial"/>
          <w:b/>
        </w:rPr>
        <w:t xml:space="preserve"> Brent and Harrow</w:t>
      </w:r>
      <w:r w:rsidR="009D695A" w:rsidRPr="004667E6">
        <w:rPr>
          <w:rFonts w:asciiTheme="minorHAnsi" w:hAnsiTheme="minorHAnsi" w:cs="Arial"/>
          <w:b/>
        </w:rPr>
        <w:t xml:space="preserve"> </w:t>
      </w:r>
      <w:r w:rsidR="0080412F" w:rsidRPr="004667E6">
        <w:rPr>
          <w:rFonts w:asciiTheme="minorHAnsi" w:hAnsiTheme="minorHAnsi" w:cs="Arial"/>
          <w:b/>
        </w:rPr>
        <w:t>Age Standardised rates of suicide per 100,000 compared with London and England</w:t>
      </w:r>
    </w:p>
    <w:p w:rsidR="0080412F" w:rsidRPr="0080412F" w:rsidRDefault="0080412F" w:rsidP="0080412F">
      <w:pPr>
        <w:pStyle w:val="ListParagraph"/>
        <w:spacing w:after="0" w:line="240" w:lineRule="auto"/>
        <w:rPr>
          <w:rFonts w:asciiTheme="minorHAnsi" w:hAnsiTheme="minorHAnsi" w:cs="Arial"/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6"/>
        <w:gridCol w:w="2259"/>
        <w:gridCol w:w="2276"/>
        <w:gridCol w:w="2213"/>
        <w:gridCol w:w="2231"/>
        <w:gridCol w:w="2239"/>
      </w:tblGrid>
      <w:tr w:rsidR="002366ED" w:rsidTr="002366ED">
        <w:tc>
          <w:tcPr>
            <w:tcW w:w="2236" w:type="dxa"/>
            <w:vMerge w:val="restart"/>
            <w:shd w:val="clear" w:color="auto" w:fill="BFBFBF" w:themeFill="background1" w:themeFillShade="BF"/>
          </w:tcPr>
          <w:p w:rsidR="002366ED" w:rsidRDefault="002366ED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shd w:val="clear" w:color="auto" w:fill="548DD4" w:themeFill="text2" w:themeFillTint="99"/>
          </w:tcPr>
          <w:p w:rsidR="002366ED" w:rsidRP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66ED">
              <w:rPr>
                <w:rFonts w:asciiTheme="minorHAnsi" w:hAnsiTheme="minorHAnsi" w:cs="Arial"/>
                <w:b/>
                <w:color w:val="FFFFFF" w:themeColor="background1"/>
              </w:rPr>
              <w:t>Population</w:t>
            </w:r>
          </w:p>
        </w:tc>
        <w:tc>
          <w:tcPr>
            <w:tcW w:w="6720" w:type="dxa"/>
            <w:gridSpan w:val="3"/>
            <w:shd w:val="clear" w:color="auto" w:fill="548DD4" w:themeFill="text2" w:themeFillTint="99"/>
          </w:tcPr>
          <w:p w:rsidR="002366ED" w:rsidRP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66ED">
              <w:rPr>
                <w:rFonts w:asciiTheme="minorHAnsi" w:hAnsiTheme="minorHAnsi" w:cs="Arial"/>
                <w:b/>
                <w:color w:val="FFFFFF" w:themeColor="background1"/>
              </w:rPr>
              <w:t>Age Standardised  suicide rate per 100,000 population</w:t>
            </w:r>
          </w:p>
        </w:tc>
        <w:tc>
          <w:tcPr>
            <w:tcW w:w="2239" w:type="dxa"/>
            <w:shd w:val="clear" w:color="auto" w:fill="548DD4" w:themeFill="text2" w:themeFillTint="99"/>
          </w:tcPr>
          <w:p w:rsidR="002366ED" w:rsidRPr="002366ED" w:rsidRDefault="009D695A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Estimated</w:t>
            </w:r>
            <w:r w:rsidR="002366ED" w:rsidRPr="002366ED">
              <w:rPr>
                <w:rFonts w:asciiTheme="minorHAnsi" w:hAnsiTheme="minorHAnsi" w:cs="Arial"/>
                <w:b/>
                <w:color w:val="FFFFFF" w:themeColor="background1"/>
              </w:rPr>
              <w:t xml:space="preserve"> Number of suicides per year</w:t>
            </w:r>
          </w:p>
        </w:tc>
      </w:tr>
      <w:tr w:rsidR="002366ED" w:rsidTr="002366ED">
        <w:tc>
          <w:tcPr>
            <w:tcW w:w="2236" w:type="dxa"/>
            <w:vMerge/>
            <w:shd w:val="clear" w:color="auto" w:fill="BFBFBF" w:themeFill="background1" w:themeFillShade="BF"/>
          </w:tcPr>
          <w:p w:rsidR="002366ED" w:rsidRDefault="002366ED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shd w:val="clear" w:color="auto" w:fill="auto"/>
          </w:tcPr>
          <w:p w:rsidR="002366ED" w:rsidRDefault="002366ED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76" w:type="dxa"/>
          </w:tcPr>
          <w:p w:rsidR="002366ED" w:rsidRP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2366ED">
              <w:rPr>
                <w:rFonts w:asciiTheme="minorHAnsi" w:hAnsiTheme="minorHAnsi" w:cs="Arial"/>
                <w:b/>
              </w:rPr>
              <w:t>All</w:t>
            </w:r>
          </w:p>
        </w:tc>
        <w:tc>
          <w:tcPr>
            <w:tcW w:w="2213" w:type="dxa"/>
          </w:tcPr>
          <w:p w:rsidR="002366ED" w:rsidRP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2366ED">
              <w:rPr>
                <w:rFonts w:asciiTheme="minorHAnsi" w:hAnsiTheme="minorHAnsi" w:cs="Arial"/>
                <w:b/>
              </w:rPr>
              <w:t>Male</w:t>
            </w:r>
          </w:p>
        </w:tc>
        <w:tc>
          <w:tcPr>
            <w:tcW w:w="2231" w:type="dxa"/>
          </w:tcPr>
          <w:p w:rsidR="002366ED" w:rsidRP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2366ED">
              <w:rPr>
                <w:rFonts w:asciiTheme="minorHAnsi" w:hAnsiTheme="minorHAnsi" w:cs="Arial"/>
                <w:b/>
              </w:rPr>
              <w:t>Female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2366ED" w:rsidTr="002366ED">
        <w:tc>
          <w:tcPr>
            <w:tcW w:w="2236" w:type="dxa"/>
          </w:tcPr>
          <w:p w:rsidR="002366ED" w:rsidRPr="002366ED" w:rsidRDefault="002366ED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</w:rPr>
            </w:pPr>
            <w:r w:rsidRPr="002366ED">
              <w:rPr>
                <w:rFonts w:asciiTheme="minorHAnsi" w:hAnsiTheme="minorHAnsi" w:cs="Arial"/>
                <w:i/>
              </w:rPr>
              <w:t>England</w:t>
            </w:r>
            <w:r w:rsidR="00FC567A">
              <w:rPr>
                <w:rStyle w:val="FootnoteReference"/>
                <w:rFonts w:asciiTheme="minorHAnsi" w:hAnsiTheme="minorHAnsi" w:cs="Arial"/>
                <w:i/>
              </w:rPr>
              <w:footnoteReference w:id="7"/>
            </w:r>
          </w:p>
        </w:tc>
        <w:tc>
          <w:tcPr>
            <w:tcW w:w="2259" w:type="dxa"/>
            <w:shd w:val="clear" w:color="auto" w:fill="auto"/>
          </w:tcPr>
          <w:p w:rsidR="002366ED" w:rsidRDefault="00FC567A" w:rsidP="00FC567A">
            <w:pPr>
              <w:pStyle w:val="ListParagraph"/>
              <w:spacing w:after="0" w:line="240" w:lineRule="auto"/>
              <w:ind w:left="0" w:firstLine="720"/>
              <w:rPr>
                <w:rFonts w:asciiTheme="minorHAnsi" w:hAnsiTheme="minorHAnsi" w:cs="Arial"/>
              </w:rPr>
            </w:pPr>
            <w:r w:rsidRPr="00FC567A">
              <w:rPr>
                <w:rFonts w:asciiTheme="minorHAnsi" w:hAnsiTheme="minorHAnsi" w:cs="Arial"/>
              </w:rPr>
              <w:t>55,977,200</w:t>
            </w:r>
          </w:p>
        </w:tc>
        <w:tc>
          <w:tcPr>
            <w:tcW w:w="2276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9.6</w:t>
            </w:r>
          </w:p>
        </w:tc>
        <w:tc>
          <w:tcPr>
            <w:tcW w:w="2213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14.9</w:t>
            </w:r>
          </w:p>
        </w:tc>
        <w:tc>
          <w:tcPr>
            <w:tcW w:w="2231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4.7</w:t>
            </w:r>
          </w:p>
        </w:tc>
        <w:tc>
          <w:tcPr>
            <w:tcW w:w="2239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366ED" w:rsidTr="002366ED">
        <w:tc>
          <w:tcPr>
            <w:tcW w:w="2236" w:type="dxa"/>
          </w:tcPr>
          <w:p w:rsidR="002366ED" w:rsidRPr="002366ED" w:rsidRDefault="002366ED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</w:rPr>
            </w:pPr>
            <w:r w:rsidRPr="002366ED">
              <w:rPr>
                <w:rFonts w:asciiTheme="minorHAnsi" w:hAnsiTheme="minorHAnsi" w:cs="Arial"/>
                <w:i/>
              </w:rPr>
              <w:t xml:space="preserve">London </w:t>
            </w:r>
          </w:p>
        </w:tc>
        <w:tc>
          <w:tcPr>
            <w:tcW w:w="2259" w:type="dxa"/>
            <w:shd w:val="clear" w:color="auto" w:fill="auto"/>
          </w:tcPr>
          <w:p w:rsidR="002366ED" w:rsidRDefault="00FC567A" w:rsidP="00FC567A">
            <w:pPr>
              <w:pStyle w:val="ListParagraph"/>
              <w:spacing w:after="0" w:line="240" w:lineRule="auto"/>
              <w:ind w:left="0" w:firstLine="720"/>
              <w:rPr>
                <w:rFonts w:asciiTheme="minorHAnsi" w:hAnsiTheme="minorHAnsi" w:cs="Arial"/>
              </w:rPr>
            </w:pPr>
            <w:r w:rsidRPr="00FC567A">
              <w:rPr>
                <w:rFonts w:asciiTheme="minorHAnsi" w:hAnsiTheme="minorHAnsi" w:cs="Arial"/>
              </w:rPr>
              <w:t>8,908,081</w:t>
            </w:r>
          </w:p>
        </w:tc>
        <w:tc>
          <w:tcPr>
            <w:tcW w:w="2276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8.1</w:t>
            </w:r>
          </w:p>
        </w:tc>
        <w:tc>
          <w:tcPr>
            <w:tcW w:w="2213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12.5</w:t>
            </w:r>
          </w:p>
        </w:tc>
        <w:tc>
          <w:tcPr>
            <w:tcW w:w="2231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4.0</w:t>
            </w:r>
          </w:p>
        </w:tc>
        <w:tc>
          <w:tcPr>
            <w:tcW w:w="2239" w:type="dxa"/>
          </w:tcPr>
          <w:p w:rsidR="002366ED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B9060F" w:rsidTr="002366ED">
        <w:tc>
          <w:tcPr>
            <w:tcW w:w="2236" w:type="dxa"/>
          </w:tcPr>
          <w:p w:rsidR="00B9060F" w:rsidRDefault="00B9060F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9060F">
              <w:rPr>
                <w:rFonts w:asciiTheme="minorHAnsi" w:hAnsiTheme="minorHAnsi" w:cs="Arial"/>
              </w:rPr>
              <w:t>Brent</w:t>
            </w:r>
          </w:p>
        </w:tc>
        <w:tc>
          <w:tcPr>
            <w:tcW w:w="2259" w:type="dxa"/>
          </w:tcPr>
          <w:p w:rsidR="00B9060F" w:rsidRDefault="00B9060F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330,795</w:t>
            </w:r>
          </w:p>
        </w:tc>
        <w:tc>
          <w:tcPr>
            <w:tcW w:w="2276" w:type="dxa"/>
          </w:tcPr>
          <w:p w:rsidR="00B9060F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7.3</w:t>
            </w:r>
          </w:p>
        </w:tc>
        <w:tc>
          <w:tcPr>
            <w:tcW w:w="2213" w:type="dxa"/>
          </w:tcPr>
          <w:p w:rsidR="00B9060F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12.4</w:t>
            </w:r>
          </w:p>
        </w:tc>
        <w:tc>
          <w:tcPr>
            <w:tcW w:w="2231" w:type="dxa"/>
          </w:tcPr>
          <w:p w:rsidR="00B9060F" w:rsidRDefault="009D695A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2239" w:type="dxa"/>
          </w:tcPr>
          <w:p w:rsidR="00B9060F" w:rsidRDefault="009D695A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</w:tr>
      <w:tr w:rsidR="00B9060F" w:rsidTr="002366ED">
        <w:tc>
          <w:tcPr>
            <w:tcW w:w="2236" w:type="dxa"/>
          </w:tcPr>
          <w:p w:rsidR="00B9060F" w:rsidRDefault="00B9060F" w:rsidP="00B9060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Harrow</w:t>
            </w:r>
          </w:p>
        </w:tc>
        <w:tc>
          <w:tcPr>
            <w:tcW w:w="2259" w:type="dxa"/>
          </w:tcPr>
          <w:p w:rsidR="00B9060F" w:rsidRDefault="00B9060F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B9060F">
              <w:rPr>
                <w:rFonts w:asciiTheme="minorHAnsi" w:hAnsiTheme="minorHAnsi" w:cs="Arial"/>
              </w:rPr>
              <w:t>250,149</w:t>
            </w:r>
          </w:p>
        </w:tc>
        <w:tc>
          <w:tcPr>
            <w:tcW w:w="2276" w:type="dxa"/>
          </w:tcPr>
          <w:p w:rsidR="00B9060F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6.4</w:t>
            </w:r>
          </w:p>
        </w:tc>
        <w:tc>
          <w:tcPr>
            <w:tcW w:w="2213" w:type="dxa"/>
          </w:tcPr>
          <w:p w:rsidR="00B9060F" w:rsidRDefault="002366ED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9.0</w:t>
            </w:r>
          </w:p>
        </w:tc>
        <w:tc>
          <w:tcPr>
            <w:tcW w:w="2231" w:type="dxa"/>
          </w:tcPr>
          <w:p w:rsidR="00B9060F" w:rsidRDefault="009D695A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3.6</w:t>
            </w:r>
          </w:p>
        </w:tc>
        <w:tc>
          <w:tcPr>
            <w:tcW w:w="2239" w:type="dxa"/>
          </w:tcPr>
          <w:p w:rsidR="00B9060F" w:rsidRDefault="009D695A" w:rsidP="002366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</w:tr>
    </w:tbl>
    <w:p w:rsidR="00B9060F" w:rsidRPr="004667E6" w:rsidRDefault="004667E6" w:rsidP="002366ED">
      <w:pPr>
        <w:rPr>
          <w:rFonts w:asciiTheme="minorHAnsi" w:hAnsiTheme="minorHAnsi" w:cs="Arial"/>
          <w:sz w:val="16"/>
        </w:rPr>
      </w:pPr>
      <w:r w:rsidRPr="004667E6">
        <w:rPr>
          <w:rFonts w:asciiTheme="minorHAnsi" w:hAnsiTheme="minorHAnsi" w:cs="Arial"/>
          <w:sz w:val="16"/>
        </w:rPr>
        <w:tab/>
        <w:t xml:space="preserve">Source: ONS </w:t>
      </w:r>
      <w:proofErr w:type="gramStart"/>
      <w:r w:rsidRPr="004667E6">
        <w:rPr>
          <w:rFonts w:asciiTheme="minorHAnsi" w:hAnsiTheme="minorHAnsi" w:cs="Arial"/>
          <w:sz w:val="16"/>
        </w:rPr>
        <w:t>Mid</w:t>
      </w:r>
      <w:proofErr w:type="gramEnd"/>
      <w:r w:rsidRPr="004667E6">
        <w:rPr>
          <w:rFonts w:asciiTheme="minorHAnsi" w:hAnsiTheme="minorHAnsi" w:cs="Arial"/>
          <w:sz w:val="16"/>
        </w:rPr>
        <w:t xml:space="preserve"> Year Population Estimates, PHE Mental Health and Wellbeing JSNA.</w:t>
      </w:r>
    </w:p>
    <w:p w:rsidR="00D4092C" w:rsidRDefault="00D4092C" w:rsidP="00D4092C">
      <w:pPr>
        <w:pStyle w:val="Heading2"/>
      </w:pPr>
    </w:p>
    <w:p w:rsidR="00D4092C" w:rsidRPr="00D4092C" w:rsidRDefault="00574B2E" w:rsidP="00D4092C">
      <w:pPr>
        <w:pStyle w:val="Heading2"/>
        <w:rPr>
          <w:rFonts w:asciiTheme="minorHAnsi" w:hAnsiTheme="minorHAnsi"/>
          <w:color w:val="auto"/>
        </w:rPr>
      </w:pPr>
      <w:bookmarkStart w:id="8" w:name="_Toc26097757"/>
      <w:bookmarkStart w:id="9" w:name="_Toc26099777"/>
      <w:r w:rsidRPr="00D4092C">
        <w:rPr>
          <w:rFonts w:asciiTheme="minorHAnsi" w:hAnsiTheme="minorHAnsi"/>
          <w:color w:val="auto"/>
        </w:rPr>
        <w:t xml:space="preserve">Brent and Harrow </w:t>
      </w:r>
      <w:r w:rsidR="0080412F" w:rsidRPr="00D4092C">
        <w:rPr>
          <w:rFonts w:asciiTheme="minorHAnsi" w:hAnsiTheme="minorHAnsi"/>
          <w:color w:val="auto"/>
        </w:rPr>
        <w:t>Priorities for 2019 – 2020</w:t>
      </w:r>
      <w:bookmarkEnd w:id="8"/>
      <w:bookmarkEnd w:id="9"/>
    </w:p>
    <w:p w:rsidR="00D4092C" w:rsidRPr="00D4092C" w:rsidRDefault="00D4092C" w:rsidP="00D4092C">
      <w:pPr>
        <w:rPr>
          <w:rFonts w:asciiTheme="minorHAnsi" w:hAnsiTheme="minorHAnsi"/>
          <w:sz w:val="6"/>
        </w:rPr>
      </w:pPr>
    </w:p>
    <w:p w:rsidR="0080412F" w:rsidRPr="00D4092C" w:rsidRDefault="00C323A7" w:rsidP="00D4092C">
      <w:pPr>
        <w:pStyle w:val="Subtitle"/>
        <w:rPr>
          <w:rFonts w:asciiTheme="minorHAnsi" w:hAnsiTheme="minorHAnsi"/>
          <w:color w:val="auto"/>
        </w:rPr>
      </w:pPr>
      <w:r w:rsidRPr="00D4092C">
        <w:rPr>
          <w:rFonts w:asciiTheme="minorHAnsi" w:hAnsiTheme="minorHAnsi"/>
          <w:color w:val="auto"/>
        </w:rPr>
        <w:t>Male Suicides</w:t>
      </w:r>
    </w:p>
    <w:p w:rsidR="00C323A7" w:rsidRDefault="00C323A7" w:rsidP="00C323A7">
      <w:pPr>
        <w:ind w:left="720"/>
        <w:rPr>
          <w:rFonts w:asciiTheme="minorHAnsi" w:hAnsiTheme="minorHAnsi" w:cs="Arial"/>
        </w:rPr>
      </w:pPr>
      <w:r w:rsidRPr="00C323A7">
        <w:rPr>
          <w:rFonts w:asciiTheme="minorHAnsi" w:hAnsiTheme="minorHAnsi" w:cs="Arial"/>
        </w:rPr>
        <w:t>Male suicide has been described as a “silent epidemic”</w:t>
      </w:r>
      <w:r>
        <w:rPr>
          <w:rStyle w:val="FootnoteReference"/>
          <w:rFonts w:asciiTheme="minorHAnsi" w:hAnsiTheme="minorHAnsi" w:cs="Arial"/>
        </w:rPr>
        <w:footnoteReference w:id="8"/>
      </w:r>
      <w:r w:rsidRPr="00C323A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C323A7">
        <w:rPr>
          <w:rFonts w:asciiTheme="minorHAnsi" w:hAnsiTheme="minorHAnsi" w:cs="Arial"/>
        </w:rPr>
        <w:t>In the UK, suicide is the highest cause of de</w:t>
      </w:r>
      <w:r w:rsidR="004667E6">
        <w:rPr>
          <w:rFonts w:asciiTheme="minorHAnsi" w:hAnsiTheme="minorHAnsi" w:cs="Arial"/>
        </w:rPr>
        <w:t xml:space="preserve">ath among men under the age 45.  </w:t>
      </w:r>
      <w:r w:rsidR="00F6220F">
        <w:rPr>
          <w:rFonts w:asciiTheme="minorHAnsi" w:hAnsiTheme="minorHAnsi" w:cs="Arial"/>
        </w:rPr>
        <w:t xml:space="preserve">In Brent and Harrow, </w:t>
      </w:r>
      <w:r w:rsidR="004667E6">
        <w:rPr>
          <w:rFonts w:asciiTheme="minorHAnsi" w:hAnsiTheme="minorHAnsi" w:cs="Arial"/>
        </w:rPr>
        <w:t xml:space="preserve">the </w:t>
      </w:r>
      <w:r w:rsidR="00574B2E">
        <w:rPr>
          <w:rFonts w:asciiTheme="minorHAnsi" w:hAnsiTheme="minorHAnsi" w:cs="Arial"/>
        </w:rPr>
        <w:t>rates of male suicides are</w:t>
      </w:r>
      <w:r w:rsidR="00F6220F">
        <w:rPr>
          <w:rFonts w:asciiTheme="minorHAnsi" w:hAnsiTheme="minorHAnsi" w:cs="Arial"/>
        </w:rPr>
        <w:t xml:space="preserve"> </w:t>
      </w:r>
      <w:r w:rsidR="00574B2E">
        <w:rPr>
          <w:rFonts w:asciiTheme="minorHAnsi" w:hAnsiTheme="minorHAnsi" w:cs="Arial"/>
        </w:rPr>
        <w:t>higher</w:t>
      </w:r>
      <w:r w:rsidR="00F6220F">
        <w:rPr>
          <w:rFonts w:asciiTheme="minorHAnsi" w:hAnsiTheme="minorHAnsi" w:cs="Arial"/>
        </w:rPr>
        <w:t xml:space="preserve"> </w:t>
      </w:r>
      <w:r w:rsidR="00731F56">
        <w:rPr>
          <w:rFonts w:asciiTheme="minorHAnsi" w:hAnsiTheme="minorHAnsi" w:cs="Arial"/>
        </w:rPr>
        <w:t xml:space="preserve">than for females. </w:t>
      </w:r>
      <w:r w:rsidR="00B067BD">
        <w:rPr>
          <w:rFonts w:asciiTheme="minorHAnsi" w:hAnsiTheme="minorHAnsi" w:cs="Arial"/>
        </w:rPr>
        <w:t xml:space="preserve"> O</w:t>
      </w:r>
      <w:r w:rsidRPr="00C323A7">
        <w:rPr>
          <w:rFonts w:asciiTheme="minorHAnsi" w:hAnsiTheme="minorHAnsi" w:cs="Arial"/>
        </w:rPr>
        <w:t xml:space="preserve">ne reason for </w:t>
      </w:r>
      <w:r w:rsidR="00731F56">
        <w:rPr>
          <w:rFonts w:asciiTheme="minorHAnsi" w:hAnsiTheme="minorHAnsi" w:cs="Arial"/>
        </w:rPr>
        <w:t xml:space="preserve">the high rates seen in </w:t>
      </w:r>
      <w:r w:rsidR="00574B2E">
        <w:rPr>
          <w:rFonts w:asciiTheme="minorHAnsi" w:hAnsiTheme="minorHAnsi" w:cs="Arial"/>
        </w:rPr>
        <w:t>men</w:t>
      </w:r>
      <w:proofErr w:type="gramStart"/>
      <w:r w:rsidR="006770B9">
        <w:rPr>
          <w:rFonts w:asciiTheme="minorHAnsi" w:hAnsiTheme="minorHAnsi" w:cs="Arial"/>
        </w:rPr>
        <w:t xml:space="preserve">, </w:t>
      </w:r>
      <w:r w:rsidR="004667E6">
        <w:rPr>
          <w:rFonts w:asciiTheme="minorHAnsi" w:hAnsiTheme="minorHAnsi" w:cs="Arial"/>
        </w:rPr>
        <w:t xml:space="preserve"> </w:t>
      </w:r>
      <w:r w:rsidRPr="00C323A7">
        <w:rPr>
          <w:rFonts w:asciiTheme="minorHAnsi" w:hAnsiTheme="minorHAnsi" w:cs="Arial"/>
        </w:rPr>
        <w:t>is</w:t>
      </w:r>
      <w:proofErr w:type="gramEnd"/>
      <w:r w:rsidRPr="00C323A7">
        <w:rPr>
          <w:rFonts w:asciiTheme="minorHAnsi" w:hAnsiTheme="minorHAnsi" w:cs="Arial"/>
        </w:rPr>
        <w:t xml:space="preserve"> that men are less likely to ask for help or express depressive or suicidal feelings</w:t>
      </w:r>
      <w:r w:rsidR="00731F56">
        <w:rPr>
          <w:rStyle w:val="FootnoteReference"/>
          <w:rFonts w:asciiTheme="minorHAnsi" w:hAnsiTheme="minorHAnsi" w:cs="Arial"/>
        </w:rPr>
        <w:footnoteReference w:id="9"/>
      </w:r>
      <w:r w:rsidRPr="00C323A7">
        <w:rPr>
          <w:rFonts w:asciiTheme="minorHAnsi" w:hAnsiTheme="minorHAnsi" w:cs="Arial"/>
        </w:rPr>
        <w:t>.</w:t>
      </w:r>
      <w:r w:rsidR="00731F56">
        <w:rPr>
          <w:rFonts w:asciiTheme="minorHAnsi" w:hAnsiTheme="minorHAnsi" w:cs="Arial"/>
        </w:rPr>
        <w:t xml:space="preserve">  Risk factors associated with male suicides include</w:t>
      </w:r>
      <w:r w:rsidR="004667E6">
        <w:rPr>
          <w:rStyle w:val="FootnoteReference"/>
          <w:rFonts w:asciiTheme="minorHAnsi" w:hAnsiTheme="minorHAnsi" w:cs="Arial"/>
        </w:rPr>
        <w:footnoteReference w:id="10"/>
      </w:r>
      <w:r w:rsidR="00731F56">
        <w:rPr>
          <w:rFonts w:asciiTheme="minorHAnsi" w:hAnsiTheme="minorHAnsi" w:cs="Arial"/>
        </w:rPr>
        <w:t>:</w:t>
      </w:r>
    </w:p>
    <w:p w:rsidR="00731F56" w:rsidRPr="00574B2E" w:rsidRDefault="004667E6" w:rsidP="00574B2E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  <w:b/>
        </w:rPr>
        <w:t>Social-economic Factors</w:t>
      </w:r>
      <w:r w:rsidRPr="00574B2E">
        <w:rPr>
          <w:rFonts w:asciiTheme="minorHAnsi" w:hAnsiTheme="minorHAnsi" w:cs="Arial"/>
        </w:rPr>
        <w:t xml:space="preserve"> – Men are up to ten times more likely to end their lives by suicide than those in the highest social class from the most affluent areas.</w:t>
      </w:r>
    </w:p>
    <w:p w:rsidR="00574B2E" w:rsidRPr="00574B2E" w:rsidRDefault="004667E6" w:rsidP="00574B2E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  <w:b/>
        </w:rPr>
        <w:lastRenderedPageBreak/>
        <w:t>Challenges in mid-life</w:t>
      </w:r>
      <w:r w:rsidR="00574B2E" w:rsidRPr="00574B2E">
        <w:rPr>
          <w:rFonts w:asciiTheme="minorHAnsi" w:hAnsiTheme="minorHAnsi" w:cs="Arial"/>
        </w:rPr>
        <w:t xml:space="preserve"> – Considered the ‘buffer generation’ Men in mid-life now are part of the so-called ‘buffer’, men who are in their mid-life years find themselves caught between older, traditional fathers and younger, more progressive and individualistic sons.</w:t>
      </w:r>
    </w:p>
    <w:p w:rsidR="004667E6" w:rsidRPr="00574B2E" w:rsidRDefault="004667E6" w:rsidP="00574B2E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  <w:b/>
        </w:rPr>
        <w:t>Personality Traits</w:t>
      </w:r>
      <w:r w:rsidRPr="00574B2E">
        <w:rPr>
          <w:rFonts w:asciiTheme="minorHAnsi" w:hAnsiTheme="minorHAnsi" w:cs="Arial"/>
        </w:rPr>
        <w:t xml:space="preserve"> – Depression and other psychiatric illnesses contribute to suicide. Some personality traits and ‘mind-sets’ contribute to the development of suicidal thoughts, including the desire to be perfect; self-criticism; brooding; and having no positive thoughts about the future.</w:t>
      </w:r>
    </w:p>
    <w:p w:rsidR="004667E6" w:rsidRDefault="004667E6" w:rsidP="00574B2E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  <w:b/>
        </w:rPr>
        <w:t>Masculinity</w:t>
      </w:r>
      <w:r w:rsidRPr="00574B2E">
        <w:rPr>
          <w:rFonts w:asciiTheme="minorHAnsi" w:hAnsiTheme="minorHAnsi" w:cs="Arial"/>
        </w:rPr>
        <w:t xml:space="preserve"> – Men compare themselves against a standard of masculinity and when there is a perception that this is not being met, this can lead to a sense of shame and defeat. </w:t>
      </w:r>
    </w:p>
    <w:p w:rsidR="00574B2E" w:rsidRDefault="00574B2E" w:rsidP="00574B2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Recommendations for reducing male suicide rates from the Samaritans include:</w:t>
      </w:r>
    </w:p>
    <w:p w:rsidR="00574B2E" w:rsidRPr="00574B2E" w:rsidRDefault="00574B2E" w:rsidP="00574B2E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</w:rPr>
        <w:t xml:space="preserve">Local suicide prevention strategies target men at the highest risk and consider gender and socio-economic disadvantage; </w:t>
      </w:r>
    </w:p>
    <w:p w:rsidR="00574B2E" w:rsidRPr="00574B2E" w:rsidRDefault="00574B2E" w:rsidP="00574B2E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</w:rPr>
        <w:t xml:space="preserve">Prioritise interventions to mitigate stereotypes around masculinity and stigma around help-seeking; </w:t>
      </w:r>
    </w:p>
    <w:p w:rsidR="00574B2E" w:rsidRPr="00574B2E" w:rsidRDefault="00574B2E" w:rsidP="00574B2E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</w:rPr>
        <w:t xml:space="preserve">Put in place ambitious policies to tackle the risk factors that can be linked to suicide risk in middle-aged men, including loneliness and alcohol misuse and </w:t>
      </w:r>
    </w:p>
    <w:p w:rsidR="002E6A2A" w:rsidRDefault="00574B2E" w:rsidP="00D4092C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574B2E">
        <w:rPr>
          <w:rFonts w:asciiTheme="minorHAnsi" w:hAnsiTheme="minorHAnsi" w:cs="Arial"/>
        </w:rPr>
        <w:t>Roll out suicide awareness training programmes for GPs to improve diagnosis and signposting to services</w:t>
      </w:r>
    </w:p>
    <w:p w:rsidR="00D4092C" w:rsidRPr="00D4092C" w:rsidRDefault="00D4092C" w:rsidP="00D4092C">
      <w:pPr>
        <w:pStyle w:val="ListParagraph"/>
        <w:ind w:left="1440"/>
        <w:rPr>
          <w:rFonts w:asciiTheme="minorHAnsi" w:hAnsiTheme="minorHAnsi" w:cs="Arial"/>
        </w:rPr>
      </w:pPr>
    </w:p>
    <w:p w:rsidR="00B9060F" w:rsidRPr="00D4092C" w:rsidRDefault="00B9060F" w:rsidP="00D4092C">
      <w:pPr>
        <w:pStyle w:val="Heading2"/>
        <w:rPr>
          <w:rFonts w:asciiTheme="minorHAnsi" w:hAnsiTheme="minorHAnsi"/>
          <w:color w:val="auto"/>
        </w:rPr>
      </w:pPr>
      <w:bookmarkStart w:id="10" w:name="_Toc26097758"/>
      <w:bookmarkStart w:id="11" w:name="_Toc26099778"/>
      <w:r w:rsidRPr="00D4092C">
        <w:rPr>
          <w:rFonts w:asciiTheme="minorHAnsi" w:hAnsiTheme="minorHAnsi"/>
          <w:color w:val="auto"/>
        </w:rPr>
        <w:t>Children and Young People</w:t>
      </w:r>
      <w:bookmarkEnd w:id="10"/>
      <w:bookmarkEnd w:id="11"/>
    </w:p>
    <w:p w:rsidR="00B9060F" w:rsidRDefault="00B9060F" w:rsidP="00385752">
      <w:pPr>
        <w:pStyle w:val="ListParagraph"/>
        <w:rPr>
          <w:rFonts w:asciiTheme="minorHAnsi" w:hAnsiTheme="minorHAnsi" w:cs="Arial"/>
          <w:b/>
        </w:rPr>
      </w:pPr>
    </w:p>
    <w:p w:rsidR="009F42C2" w:rsidRDefault="009F42C2" w:rsidP="00385752">
      <w:pPr>
        <w:pStyle w:val="ListParagraph"/>
        <w:rPr>
          <w:rFonts w:asciiTheme="minorHAnsi" w:hAnsiTheme="minorHAnsi" w:cs="Arial"/>
        </w:rPr>
      </w:pPr>
      <w:r w:rsidRPr="009F42C2">
        <w:rPr>
          <w:rFonts w:asciiTheme="minorHAnsi" w:hAnsiTheme="minorHAnsi" w:cs="Arial"/>
        </w:rPr>
        <w:t>Suicide in young people is rarely caused by one thing; it usually follows a combination of previous vulnerability and recent events</w:t>
      </w:r>
      <w:r>
        <w:rPr>
          <w:rFonts w:asciiTheme="minorHAnsi" w:hAnsiTheme="minorHAnsi" w:cs="Arial"/>
        </w:rPr>
        <w:t>.</w:t>
      </w:r>
      <w:r>
        <w:rPr>
          <w:rStyle w:val="FootnoteReference"/>
          <w:rFonts w:asciiTheme="minorHAnsi" w:hAnsiTheme="minorHAnsi" w:cs="Arial"/>
        </w:rPr>
        <w:footnoteReference w:id="11"/>
      </w:r>
      <w:r>
        <w:rPr>
          <w:rFonts w:asciiTheme="minorHAnsi" w:hAnsiTheme="minorHAnsi" w:cs="Arial"/>
        </w:rPr>
        <w:t xml:space="preserve">  </w:t>
      </w:r>
      <w:r w:rsidRPr="009F42C2">
        <w:rPr>
          <w:rFonts w:asciiTheme="minorHAnsi" w:hAnsiTheme="minorHAnsi" w:cs="Arial"/>
        </w:rPr>
        <w:t>An estimated two hundred children a year lose their lives through completed suicide in the UK</w:t>
      </w:r>
      <w:r>
        <w:rPr>
          <w:rFonts w:asciiTheme="minorHAnsi" w:hAnsiTheme="minorHAnsi" w:cs="Arial"/>
        </w:rPr>
        <w:t>.</w:t>
      </w:r>
      <w:r>
        <w:rPr>
          <w:rStyle w:val="FootnoteReference"/>
          <w:rFonts w:asciiTheme="minorHAnsi" w:hAnsiTheme="minorHAnsi" w:cs="Arial"/>
        </w:rPr>
        <w:footnoteReference w:id="12"/>
      </w:r>
      <w:r>
        <w:rPr>
          <w:rFonts w:asciiTheme="minorHAnsi" w:hAnsiTheme="minorHAnsi" w:cs="Arial"/>
        </w:rPr>
        <w:t xml:space="preserve">  Risk factors associated with suicides in children and young people are:</w:t>
      </w:r>
    </w:p>
    <w:p w:rsidR="00D4092C" w:rsidRDefault="00D4092C" w:rsidP="00385752">
      <w:pPr>
        <w:pStyle w:val="ListParagraph"/>
        <w:rPr>
          <w:rFonts w:asciiTheme="minorHAnsi" w:hAnsiTheme="minorHAnsi" w:cs="Arial"/>
        </w:rPr>
      </w:pPr>
    </w:p>
    <w:p w:rsidR="00D4092C" w:rsidRDefault="00D4092C" w:rsidP="00385752">
      <w:pPr>
        <w:pStyle w:val="ListParagraph"/>
        <w:rPr>
          <w:rFonts w:asciiTheme="minorHAnsi" w:hAnsiTheme="minorHAnsi" w:cs="Arial"/>
        </w:rPr>
      </w:pPr>
    </w:p>
    <w:p w:rsidR="00D4092C" w:rsidRDefault="00D4092C" w:rsidP="00385752">
      <w:pPr>
        <w:pStyle w:val="ListParagraph"/>
        <w:rPr>
          <w:rFonts w:asciiTheme="minorHAnsi" w:hAnsiTheme="minorHAnsi" w:cs="Arial"/>
        </w:rPr>
      </w:pPr>
    </w:p>
    <w:p w:rsidR="002E6A2A" w:rsidRDefault="002E6A2A" w:rsidP="00385752">
      <w:pPr>
        <w:pStyle w:val="ListParagraph"/>
        <w:rPr>
          <w:rFonts w:asciiTheme="minorHAnsi" w:hAnsiTheme="minorHAnsi" w:cs="Arial"/>
        </w:rPr>
      </w:pPr>
    </w:p>
    <w:p w:rsidR="007E45D5" w:rsidRPr="002E6A2A" w:rsidRDefault="002E6A2A" w:rsidP="007E45D5">
      <w:pPr>
        <w:pStyle w:val="ListParagraph"/>
        <w:spacing w:after="0" w:line="240" w:lineRule="auto"/>
        <w:rPr>
          <w:rFonts w:asciiTheme="minorHAnsi" w:hAnsiTheme="minorHAnsi" w:cs="Arial"/>
          <w:b/>
        </w:rPr>
      </w:pPr>
      <w:r w:rsidRPr="002E6A2A">
        <w:rPr>
          <w:rFonts w:asciiTheme="minorHAnsi" w:hAnsiTheme="minorHAnsi" w:cs="Arial"/>
          <w:b/>
        </w:rPr>
        <w:lastRenderedPageBreak/>
        <w:t xml:space="preserve">Table </w:t>
      </w:r>
      <w:proofErr w:type="gramStart"/>
      <w:r w:rsidRPr="002E6A2A">
        <w:rPr>
          <w:rFonts w:asciiTheme="minorHAnsi" w:hAnsiTheme="minorHAnsi" w:cs="Arial"/>
          <w:b/>
        </w:rPr>
        <w:t>xx  Suicide</w:t>
      </w:r>
      <w:proofErr w:type="gramEnd"/>
      <w:r w:rsidRPr="002E6A2A">
        <w:rPr>
          <w:rFonts w:asciiTheme="minorHAnsi" w:hAnsiTheme="minorHAnsi" w:cs="Arial"/>
          <w:b/>
        </w:rPr>
        <w:t xml:space="preserve"> risk factors for children and young people</w:t>
      </w:r>
    </w:p>
    <w:p w:rsidR="002E6A2A" w:rsidRPr="002E6A2A" w:rsidRDefault="002E6A2A" w:rsidP="007E45D5">
      <w:pPr>
        <w:pStyle w:val="ListParagraph"/>
        <w:spacing w:after="0" w:line="240" w:lineRule="auto"/>
        <w:rPr>
          <w:rFonts w:asciiTheme="minorHAnsi" w:hAnsiTheme="minorHAnsi" w:cs="Arial"/>
          <w:sz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2"/>
        <w:gridCol w:w="4479"/>
        <w:gridCol w:w="4493"/>
      </w:tblGrid>
      <w:tr w:rsidR="007E45D5" w:rsidTr="007E45D5">
        <w:tc>
          <w:tcPr>
            <w:tcW w:w="4724" w:type="dxa"/>
          </w:tcPr>
          <w:p w:rsidR="007E45D5" w:rsidRDefault="007E45D5" w:rsidP="007E45D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F42C2">
              <w:rPr>
                <w:rFonts w:asciiTheme="minorHAnsi" w:hAnsiTheme="minorHAnsi" w:cs="Arial"/>
              </w:rPr>
              <w:t>Behavioural disorders</w:t>
            </w:r>
          </w:p>
        </w:tc>
        <w:tc>
          <w:tcPr>
            <w:tcW w:w="4725" w:type="dxa"/>
          </w:tcPr>
          <w:p w:rsid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Family breakdown</w:t>
            </w:r>
          </w:p>
        </w:tc>
        <w:tc>
          <w:tcPr>
            <w:tcW w:w="4725" w:type="dxa"/>
          </w:tcPr>
          <w:p w:rsid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Mental health problems</w:t>
            </w:r>
          </w:p>
        </w:tc>
      </w:tr>
      <w:tr w:rsidR="007E45D5" w:rsidTr="007E45D5">
        <w:tc>
          <w:tcPr>
            <w:tcW w:w="4724" w:type="dxa"/>
          </w:tcPr>
          <w:p w:rsid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Substance misuse</w:t>
            </w:r>
          </w:p>
        </w:tc>
        <w:tc>
          <w:tcPr>
            <w:tcW w:w="4725" w:type="dxa"/>
          </w:tcPr>
          <w:p w:rsid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Rejection</w:t>
            </w:r>
          </w:p>
        </w:tc>
        <w:tc>
          <w:tcPr>
            <w:tcW w:w="4725" w:type="dxa"/>
          </w:tcPr>
          <w:p w:rsid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Suicide in the family or a friend</w:t>
            </w:r>
          </w:p>
        </w:tc>
      </w:tr>
      <w:tr w:rsidR="007E45D5" w:rsidTr="007E45D5">
        <w:tc>
          <w:tcPr>
            <w:tcW w:w="4724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Academic pressures</w:t>
            </w:r>
          </w:p>
        </w:tc>
        <w:tc>
          <w:tcPr>
            <w:tcW w:w="4725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Bullying</w:t>
            </w:r>
          </w:p>
        </w:tc>
        <w:tc>
          <w:tcPr>
            <w:tcW w:w="4725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Bereavement</w:t>
            </w:r>
          </w:p>
        </w:tc>
      </w:tr>
      <w:tr w:rsidR="007E45D5" w:rsidTr="007E45D5">
        <w:tc>
          <w:tcPr>
            <w:tcW w:w="4724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Substance misuse</w:t>
            </w:r>
          </w:p>
        </w:tc>
        <w:tc>
          <w:tcPr>
            <w:tcW w:w="4725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Childhood abuse</w:t>
            </w:r>
          </w:p>
        </w:tc>
        <w:tc>
          <w:tcPr>
            <w:tcW w:w="4725" w:type="dxa"/>
          </w:tcPr>
          <w:p w:rsidR="007E45D5" w:rsidRPr="007E45D5" w:rsidRDefault="007E45D5" w:rsidP="007E4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7E45D5">
              <w:rPr>
                <w:rFonts w:asciiTheme="minorHAnsi" w:hAnsiTheme="minorHAnsi" w:cs="Arial"/>
              </w:rPr>
              <w:t>Sexual abuse</w:t>
            </w:r>
          </w:p>
        </w:tc>
      </w:tr>
    </w:tbl>
    <w:p w:rsidR="002E6A2A" w:rsidRDefault="002E6A2A" w:rsidP="007E45D5">
      <w:pPr>
        <w:spacing w:after="0" w:line="240" w:lineRule="auto"/>
        <w:rPr>
          <w:rFonts w:asciiTheme="minorHAnsi" w:hAnsiTheme="minorHAnsi" w:cs="Arial"/>
        </w:rPr>
      </w:pPr>
    </w:p>
    <w:p w:rsidR="009F42C2" w:rsidRDefault="007E45D5" w:rsidP="002E6A2A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Pr="007E45D5">
        <w:rPr>
          <w:rFonts w:asciiTheme="minorHAnsi" w:hAnsiTheme="minorHAnsi" w:cs="Arial"/>
        </w:rPr>
        <w:t>National Confid</w:t>
      </w:r>
      <w:r>
        <w:rPr>
          <w:rFonts w:asciiTheme="minorHAnsi" w:hAnsiTheme="minorHAnsi" w:cs="Arial"/>
        </w:rPr>
        <w:t xml:space="preserve">ential Inquiry into Suicide and </w:t>
      </w:r>
      <w:r w:rsidRPr="007E45D5">
        <w:rPr>
          <w:rFonts w:asciiTheme="minorHAnsi" w:hAnsiTheme="minorHAnsi" w:cs="Arial"/>
        </w:rPr>
        <w:t>Homicide by People with Mental Illness</w:t>
      </w:r>
      <w:r>
        <w:rPr>
          <w:rFonts w:asciiTheme="minorHAnsi" w:hAnsiTheme="minorHAnsi" w:cs="Arial"/>
        </w:rPr>
        <w:t xml:space="preserve"> produced a report</w:t>
      </w:r>
      <w:r w:rsidR="002E6A2A">
        <w:rPr>
          <w:rFonts w:asciiTheme="minorHAnsi" w:hAnsiTheme="minorHAnsi" w:cs="Arial"/>
        </w:rPr>
        <w:t xml:space="preserve"> in July 2017</w:t>
      </w:r>
      <w:r w:rsidR="002E6A2A">
        <w:rPr>
          <w:rStyle w:val="FootnoteReference"/>
          <w:rFonts w:asciiTheme="minorHAnsi" w:hAnsiTheme="minorHAnsi" w:cs="Arial"/>
        </w:rPr>
        <w:footnoteReference w:id="13"/>
      </w:r>
      <w:r w:rsidR="002E6A2A">
        <w:rPr>
          <w:rFonts w:asciiTheme="minorHAnsi" w:hAnsiTheme="minorHAnsi" w:cs="Arial"/>
        </w:rPr>
        <w:t xml:space="preserve"> highlighting the impact of suicide methods found on the internet.  Of the 922 suicides reviewed in England, they found </w:t>
      </w:r>
      <w:r w:rsidRPr="007E45D5">
        <w:rPr>
          <w:rFonts w:asciiTheme="minorHAnsi" w:hAnsiTheme="minorHAnsi" w:cs="Arial"/>
        </w:rPr>
        <w:t xml:space="preserve">suicide-related internet use in 26% of deaths in </w:t>
      </w:r>
      <w:proofErr w:type="gramStart"/>
      <w:r w:rsidRPr="007E45D5">
        <w:rPr>
          <w:rFonts w:asciiTheme="minorHAnsi" w:hAnsiTheme="minorHAnsi" w:cs="Arial"/>
        </w:rPr>
        <w:t>under</w:t>
      </w:r>
      <w:proofErr w:type="gramEnd"/>
      <w:r w:rsidRPr="007E45D5">
        <w:rPr>
          <w:rFonts w:asciiTheme="minorHAnsi" w:hAnsiTheme="minorHAnsi" w:cs="Arial"/>
        </w:rPr>
        <w:t xml:space="preserve"> 20s, and 1</w:t>
      </w:r>
      <w:r w:rsidR="002E6A2A">
        <w:rPr>
          <w:rFonts w:asciiTheme="minorHAnsi" w:hAnsiTheme="minorHAnsi" w:cs="Arial"/>
        </w:rPr>
        <w:t>3% of deaths in 20-24 year olds.  This is the</w:t>
      </w:r>
      <w:r w:rsidRPr="007E45D5">
        <w:rPr>
          <w:rFonts w:asciiTheme="minorHAnsi" w:hAnsiTheme="minorHAnsi" w:cs="Arial"/>
        </w:rPr>
        <w:t xml:space="preserve"> equivalent to 80 deaths per year.</w:t>
      </w:r>
    </w:p>
    <w:p w:rsidR="006770B9" w:rsidRDefault="006770B9" w:rsidP="002E6A2A">
      <w:pPr>
        <w:spacing w:after="0" w:line="240" w:lineRule="auto"/>
        <w:ind w:left="720"/>
        <w:rPr>
          <w:rFonts w:asciiTheme="minorHAnsi" w:hAnsiTheme="minorHAnsi" w:cs="Arial"/>
        </w:rPr>
      </w:pPr>
    </w:p>
    <w:p w:rsidR="006770B9" w:rsidRDefault="006770B9" w:rsidP="002E6A2A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following table shows the </w:t>
      </w:r>
      <w:r w:rsidR="007809F4">
        <w:rPr>
          <w:rFonts w:asciiTheme="minorHAnsi" w:hAnsiTheme="minorHAnsi" w:cs="Arial"/>
        </w:rPr>
        <w:t xml:space="preserve">crude </w:t>
      </w:r>
      <w:r>
        <w:rPr>
          <w:rFonts w:asciiTheme="minorHAnsi" w:hAnsiTheme="minorHAnsi" w:cs="Arial"/>
        </w:rPr>
        <w:t>rates of suicides for 10-34 year olds in Brent and Harr</w:t>
      </w:r>
      <w:r w:rsidR="007809F4">
        <w:rPr>
          <w:rFonts w:asciiTheme="minorHAnsi" w:hAnsiTheme="minorHAnsi" w:cs="Arial"/>
        </w:rPr>
        <w:t>ow compared to the England and London</w:t>
      </w:r>
      <w:r>
        <w:rPr>
          <w:rFonts w:asciiTheme="minorHAnsi" w:hAnsiTheme="minorHAnsi" w:cs="Arial"/>
        </w:rPr>
        <w:t xml:space="preserve"> for the same age group.</w:t>
      </w:r>
      <w:r w:rsidR="007809F4">
        <w:rPr>
          <w:rFonts w:asciiTheme="minorHAnsi" w:hAnsiTheme="minorHAnsi" w:cs="Arial"/>
        </w:rPr>
        <w:t xml:space="preserve">  The rates of suicides in Brent and Harrow are similar to England rates however, slightly higher for the London region.</w:t>
      </w:r>
    </w:p>
    <w:p w:rsidR="007809F4" w:rsidRDefault="007809F4" w:rsidP="007809F4">
      <w:pPr>
        <w:spacing w:after="0" w:line="240" w:lineRule="auto"/>
        <w:rPr>
          <w:rFonts w:asciiTheme="minorHAnsi" w:hAnsiTheme="minorHAnsi" w:cs="Arial"/>
        </w:rPr>
      </w:pPr>
    </w:p>
    <w:p w:rsidR="006770B9" w:rsidRPr="005306EA" w:rsidRDefault="00AE17C9" w:rsidP="002E6A2A">
      <w:pPr>
        <w:spacing w:after="0" w:line="240" w:lineRule="auto"/>
        <w:ind w:left="720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Table 2.</w:t>
      </w:r>
      <w:proofErr w:type="gramEnd"/>
      <w:r w:rsidR="007809F4" w:rsidRPr="005306EA">
        <w:rPr>
          <w:rFonts w:asciiTheme="minorHAnsi" w:hAnsiTheme="minorHAnsi" w:cs="Arial"/>
          <w:b/>
        </w:rPr>
        <w:t xml:space="preserve">  Crude rates for suicides over a 5 year period for 10-34 year olds in Brent and Harrow</w:t>
      </w:r>
    </w:p>
    <w:p w:rsidR="007809F4" w:rsidRDefault="007809F4" w:rsidP="002E6A2A">
      <w:pPr>
        <w:spacing w:after="0" w:line="240" w:lineRule="auto"/>
        <w:ind w:left="720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75"/>
        <w:gridCol w:w="2077"/>
        <w:gridCol w:w="2410"/>
        <w:gridCol w:w="2410"/>
      </w:tblGrid>
      <w:tr w:rsidR="007809F4" w:rsidTr="00D157FF">
        <w:tc>
          <w:tcPr>
            <w:tcW w:w="3216" w:type="dxa"/>
            <w:shd w:val="clear" w:color="auto" w:fill="D9D9D9" w:themeFill="background1" w:themeFillShade="D9"/>
          </w:tcPr>
          <w:p w:rsidR="007809F4" w:rsidRDefault="007809F4" w:rsidP="002E6A2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75" w:type="dxa"/>
            <w:shd w:val="clear" w:color="auto" w:fill="548DD4" w:themeFill="text2" w:themeFillTint="99"/>
          </w:tcPr>
          <w:p w:rsidR="007809F4" w:rsidRPr="00D157FF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157FF">
              <w:rPr>
                <w:rFonts w:asciiTheme="minorHAnsi" w:hAnsiTheme="minorHAnsi" w:cs="Arial"/>
                <w:b/>
                <w:color w:val="FFFFFF" w:themeColor="background1"/>
              </w:rPr>
              <w:t>England</w:t>
            </w:r>
          </w:p>
        </w:tc>
        <w:tc>
          <w:tcPr>
            <w:tcW w:w="2077" w:type="dxa"/>
            <w:shd w:val="clear" w:color="auto" w:fill="548DD4" w:themeFill="text2" w:themeFillTint="99"/>
          </w:tcPr>
          <w:p w:rsidR="007809F4" w:rsidRPr="00D157FF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157FF">
              <w:rPr>
                <w:rFonts w:asciiTheme="minorHAnsi" w:hAnsiTheme="minorHAnsi" w:cs="Arial"/>
                <w:b/>
                <w:color w:val="FFFFFF" w:themeColor="background1"/>
              </w:rPr>
              <w:t>London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809F4" w:rsidRPr="00D157FF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157FF">
              <w:rPr>
                <w:rFonts w:asciiTheme="minorHAnsi" w:hAnsiTheme="minorHAnsi" w:cs="Arial"/>
                <w:b/>
                <w:color w:val="FFFFFF" w:themeColor="background1"/>
              </w:rPr>
              <w:t>Brent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809F4" w:rsidRPr="00D157FF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157FF">
              <w:rPr>
                <w:rFonts w:asciiTheme="minorHAnsi" w:hAnsiTheme="minorHAnsi" w:cs="Arial"/>
                <w:b/>
                <w:color w:val="FFFFFF" w:themeColor="background1"/>
              </w:rPr>
              <w:t>Harrow</w:t>
            </w:r>
          </w:p>
        </w:tc>
      </w:tr>
      <w:tr w:rsidR="007809F4" w:rsidTr="007809F4">
        <w:tc>
          <w:tcPr>
            <w:tcW w:w="3216" w:type="dxa"/>
          </w:tcPr>
          <w:p w:rsidR="007809F4" w:rsidRDefault="007809F4" w:rsidP="002E6A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809F4">
              <w:rPr>
                <w:rFonts w:asciiTheme="minorHAnsi" w:hAnsiTheme="minorHAnsi" w:cs="Arial"/>
              </w:rPr>
              <w:t>Suicide crude rate for 10-34 year olds per 100,000</w:t>
            </w:r>
          </w:p>
        </w:tc>
        <w:tc>
          <w:tcPr>
            <w:tcW w:w="2175" w:type="dxa"/>
            <w:vAlign w:val="center"/>
          </w:tcPr>
          <w:p w:rsidR="007809F4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10.5</w:t>
            </w:r>
          </w:p>
        </w:tc>
        <w:tc>
          <w:tcPr>
            <w:tcW w:w="2077" w:type="dxa"/>
            <w:vAlign w:val="center"/>
          </w:tcPr>
          <w:p w:rsidR="007809F4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8.3</w:t>
            </w:r>
          </w:p>
        </w:tc>
        <w:tc>
          <w:tcPr>
            <w:tcW w:w="2410" w:type="dxa"/>
            <w:vAlign w:val="center"/>
          </w:tcPr>
          <w:p w:rsidR="007809F4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10.2</w:t>
            </w:r>
          </w:p>
        </w:tc>
        <w:tc>
          <w:tcPr>
            <w:tcW w:w="2410" w:type="dxa"/>
            <w:vAlign w:val="center"/>
          </w:tcPr>
          <w:p w:rsidR="007809F4" w:rsidRDefault="007809F4" w:rsidP="007809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10.2</w:t>
            </w:r>
          </w:p>
        </w:tc>
      </w:tr>
    </w:tbl>
    <w:p w:rsidR="006770B9" w:rsidRDefault="005306EA" w:rsidP="007809F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5306EA">
        <w:rPr>
          <w:rFonts w:asciiTheme="minorHAnsi" w:hAnsiTheme="minorHAnsi" w:cs="Arial"/>
          <w:sz w:val="16"/>
        </w:rPr>
        <w:t>Source:  PHE Fingertips</w:t>
      </w:r>
    </w:p>
    <w:p w:rsidR="005306EA" w:rsidRDefault="005306EA" w:rsidP="007809F4">
      <w:pPr>
        <w:spacing w:after="0" w:line="240" w:lineRule="auto"/>
        <w:rPr>
          <w:rFonts w:asciiTheme="minorHAnsi" w:hAnsiTheme="minorHAnsi" w:cs="Arial"/>
        </w:rPr>
      </w:pPr>
    </w:p>
    <w:p w:rsidR="002E6A2A" w:rsidRPr="00216EAC" w:rsidRDefault="007809F4" w:rsidP="00D4092C">
      <w:pPr>
        <w:pStyle w:val="Heading2"/>
        <w:rPr>
          <w:rFonts w:asciiTheme="minorHAnsi" w:hAnsiTheme="minorHAnsi"/>
          <w:color w:val="auto"/>
        </w:rPr>
      </w:pPr>
      <w:bookmarkStart w:id="12" w:name="_Toc26097759"/>
      <w:bookmarkStart w:id="13" w:name="_Toc26099779"/>
      <w:r w:rsidRPr="00216EAC">
        <w:rPr>
          <w:rFonts w:asciiTheme="minorHAnsi" w:hAnsiTheme="minorHAnsi"/>
          <w:color w:val="auto"/>
        </w:rPr>
        <w:t>Self-Harm</w:t>
      </w:r>
      <w:bookmarkEnd w:id="12"/>
      <w:bookmarkEnd w:id="13"/>
    </w:p>
    <w:p w:rsidR="007809F4" w:rsidRPr="002E6A2A" w:rsidRDefault="007809F4" w:rsidP="002E6A2A">
      <w:pPr>
        <w:spacing w:after="0" w:line="240" w:lineRule="auto"/>
        <w:ind w:left="720"/>
        <w:rPr>
          <w:rFonts w:asciiTheme="minorHAnsi" w:hAnsiTheme="minorHAnsi" w:cs="Arial"/>
        </w:rPr>
      </w:pPr>
    </w:p>
    <w:p w:rsidR="003F5D8A" w:rsidRDefault="003F5D8A" w:rsidP="007F3171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Nationally</w:t>
      </w:r>
      <w:proofErr w:type="gramStart"/>
      <w:r>
        <w:rPr>
          <w:rFonts w:asciiTheme="minorHAnsi" w:hAnsiTheme="minorHAnsi" w:cs="Arial"/>
        </w:rPr>
        <w:t>,  s</w:t>
      </w:r>
      <w:r w:rsidRPr="003F5D8A">
        <w:rPr>
          <w:rFonts w:asciiTheme="minorHAnsi" w:hAnsiTheme="minorHAnsi" w:cs="Arial"/>
        </w:rPr>
        <w:t>elf</w:t>
      </w:r>
      <w:proofErr w:type="gramEnd"/>
      <w:r w:rsidRPr="003F5D8A">
        <w:rPr>
          <w:rFonts w:asciiTheme="minorHAnsi" w:hAnsiTheme="minorHAnsi" w:cs="Arial"/>
        </w:rPr>
        <w:t>-harming i</w:t>
      </w:r>
      <w:r>
        <w:rPr>
          <w:rFonts w:asciiTheme="minorHAnsi" w:hAnsiTheme="minorHAnsi" w:cs="Arial"/>
        </w:rPr>
        <w:t xml:space="preserve">n young people is not uncommon </w:t>
      </w:r>
      <w:r w:rsidRPr="003F5D8A">
        <w:rPr>
          <w:rFonts w:asciiTheme="minorHAnsi" w:hAnsiTheme="minorHAnsi" w:cs="Arial"/>
        </w:rPr>
        <w:t>10-13% of 15-16-year-olds have self-harmed in their lifetime</w:t>
      </w:r>
      <w:r>
        <w:rPr>
          <w:rStyle w:val="FootnoteReference"/>
          <w:rFonts w:asciiTheme="minorHAnsi" w:hAnsiTheme="minorHAnsi" w:cs="Arial"/>
        </w:rPr>
        <w:footnoteReference w:id="14"/>
      </w:r>
      <w:r>
        <w:rPr>
          <w:rFonts w:asciiTheme="minorHAnsi" w:hAnsiTheme="minorHAnsi" w:cs="Arial"/>
        </w:rPr>
        <w:t xml:space="preserve">. </w:t>
      </w:r>
      <w:r w:rsidR="00420BE2" w:rsidRPr="00420BE2">
        <w:rPr>
          <w:rFonts w:asciiTheme="minorHAnsi" w:hAnsiTheme="minorHAnsi" w:cs="Arial"/>
        </w:rPr>
        <w:t>Hospital admissions for self-harm in children have increased in recent years, with admissions for young women being much higher than admissions for young men</w:t>
      </w:r>
      <w:r w:rsidR="00420BE2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 xml:space="preserve"> </w:t>
      </w:r>
      <w:r w:rsidRPr="003F5D8A">
        <w:rPr>
          <w:rFonts w:asciiTheme="minorHAnsi" w:hAnsiTheme="minorHAnsi" w:cs="Arial"/>
        </w:rPr>
        <w:t>Self-harm is an expression of persona</w:t>
      </w:r>
      <w:r>
        <w:rPr>
          <w:rFonts w:asciiTheme="minorHAnsi" w:hAnsiTheme="minorHAnsi" w:cs="Arial"/>
        </w:rPr>
        <w:t>l distress</w:t>
      </w:r>
      <w:r w:rsidRPr="003F5D8A">
        <w:rPr>
          <w:rFonts w:asciiTheme="minorHAnsi" w:hAnsiTheme="minorHAnsi" w:cs="Arial"/>
        </w:rPr>
        <w:t>. There is a significant and persistent risk of future suicide following an episode of self harm</w:t>
      </w:r>
      <w:r>
        <w:rPr>
          <w:rFonts w:asciiTheme="minorHAnsi" w:hAnsiTheme="minorHAnsi" w:cs="Arial"/>
        </w:rPr>
        <w:t xml:space="preserve">.  </w:t>
      </w:r>
    </w:p>
    <w:p w:rsidR="003F5D8A" w:rsidRDefault="003F5D8A" w:rsidP="007F3171">
      <w:pPr>
        <w:pStyle w:val="ListParagraph"/>
        <w:rPr>
          <w:rFonts w:asciiTheme="minorHAnsi" w:hAnsiTheme="minorHAnsi" w:cs="Arial"/>
        </w:rPr>
      </w:pPr>
    </w:p>
    <w:p w:rsidR="00B9060F" w:rsidRDefault="00B9060F" w:rsidP="007F3171">
      <w:pPr>
        <w:pStyle w:val="ListParagraph"/>
        <w:rPr>
          <w:rFonts w:asciiTheme="minorHAnsi" w:hAnsiTheme="minorHAnsi" w:cs="Arial"/>
        </w:rPr>
      </w:pPr>
      <w:r w:rsidRPr="00B9060F">
        <w:rPr>
          <w:rFonts w:asciiTheme="minorHAnsi" w:hAnsiTheme="minorHAnsi" w:cs="Arial"/>
        </w:rPr>
        <w:lastRenderedPageBreak/>
        <w:t xml:space="preserve">Following an initial workshop with partners to discuss how suicide prevention within Harrow should be tackled, it was agreed that this </w:t>
      </w:r>
      <w:proofErr w:type="gramStart"/>
      <w:r w:rsidRPr="00B9060F">
        <w:rPr>
          <w:rFonts w:asciiTheme="minorHAnsi" w:hAnsiTheme="minorHAnsi" w:cs="Arial"/>
        </w:rPr>
        <w:t>years</w:t>
      </w:r>
      <w:proofErr w:type="gramEnd"/>
      <w:r w:rsidRPr="00B9060F">
        <w:rPr>
          <w:rFonts w:asciiTheme="minorHAnsi" w:hAnsiTheme="minorHAnsi" w:cs="Arial"/>
        </w:rPr>
        <w:t xml:space="preserve"> action plan would focus on Children and Young People.  Young Harrow Foundation conducted a needs assessment of children and young people in Harrow, 15% of the target age (10-19 years) responded.  Findings showed that young people in Harrow are struggling with mental health issues including self-harm and suicidal thoughts.</w:t>
      </w:r>
      <w:r w:rsidR="003F5D8A">
        <w:rPr>
          <w:rFonts w:asciiTheme="minorHAnsi" w:hAnsiTheme="minorHAnsi" w:cs="Arial"/>
        </w:rPr>
        <w:t xml:space="preserve">  </w:t>
      </w:r>
    </w:p>
    <w:p w:rsidR="002B2B87" w:rsidRDefault="002B2B87" w:rsidP="002B2B87">
      <w:pPr>
        <w:pStyle w:val="ListParagraph"/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Data received from the Young Harrow Foundation has found that:</w:t>
      </w:r>
    </w:p>
    <w:p w:rsidR="002B2B87" w:rsidRPr="002B2B87" w:rsidRDefault="002B2B87" w:rsidP="002B2B87">
      <w:pPr>
        <w:pStyle w:val="ListParagraph"/>
        <w:rPr>
          <w:rFonts w:asciiTheme="minorHAnsi" w:hAnsiTheme="minorHAnsi" w:cs="Arial"/>
        </w:rPr>
      </w:pPr>
    </w:p>
    <w:p w:rsidR="002B2B87" w:rsidRPr="002B2B87" w:rsidRDefault="002B2B87" w:rsidP="002B2B87">
      <w:pPr>
        <w:pStyle w:val="ListParagraph"/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Out of 3870 CYP that answered the question around suicidal thoughts:</w:t>
      </w:r>
    </w:p>
    <w:p w:rsidR="002B2B87" w:rsidRPr="002B2B87" w:rsidRDefault="002B2B87" w:rsidP="002B2B87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 xml:space="preserve">412 said they need support </w:t>
      </w:r>
    </w:p>
    <w:p w:rsidR="002B2B87" w:rsidRPr="002B2B87" w:rsidRDefault="002B2B87" w:rsidP="002B2B87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 xml:space="preserve">312 said their close friends need support.  </w:t>
      </w:r>
    </w:p>
    <w:p w:rsidR="002B2B87" w:rsidRPr="002B2B87" w:rsidRDefault="002B2B87" w:rsidP="002B2B87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These 2 numbers together says 17% of the CYP responding said there was a need around suicidal thinking.</w:t>
      </w:r>
    </w:p>
    <w:p w:rsidR="002B2B87" w:rsidRPr="002B2B87" w:rsidRDefault="002B2B87" w:rsidP="002B2B87">
      <w:pPr>
        <w:pStyle w:val="ListParagraph"/>
        <w:rPr>
          <w:rFonts w:asciiTheme="minorHAnsi" w:hAnsiTheme="minorHAnsi" w:cs="Arial"/>
        </w:rPr>
      </w:pPr>
    </w:p>
    <w:p w:rsidR="002B2B87" w:rsidRPr="002B2B87" w:rsidRDefault="002B2B87" w:rsidP="002B2B87">
      <w:pPr>
        <w:pStyle w:val="ListParagraph"/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Of the 412 that asked for the support themselves:</w:t>
      </w:r>
    </w:p>
    <w:p w:rsidR="002B2B87" w:rsidRPr="002B2B87" w:rsidRDefault="002B2B87" w:rsidP="002B2B87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61% female</w:t>
      </w:r>
    </w:p>
    <w:p w:rsidR="002B2B87" w:rsidRPr="002B2B87" w:rsidRDefault="002B2B87" w:rsidP="002B2B87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31% male</w:t>
      </w:r>
    </w:p>
    <w:p w:rsidR="002B2B87" w:rsidRPr="002B2B87" w:rsidRDefault="002B2B87" w:rsidP="002B2B87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8% other</w:t>
      </w:r>
    </w:p>
    <w:p w:rsidR="002B2B87" w:rsidRPr="002B2B87" w:rsidRDefault="002B2B87" w:rsidP="002B2B87">
      <w:pPr>
        <w:ind w:firstLine="720"/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Of the 412 that asked for the support themselves:</w:t>
      </w:r>
    </w:p>
    <w:p w:rsidR="002B2B87" w:rsidRPr="002B2B87" w:rsidRDefault="002B2B87" w:rsidP="002B2B87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 xml:space="preserve">53% also want support for self harm </w:t>
      </w:r>
    </w:p>
    <w:p w:rsidR="002B2B87" w:rsidRPr="002B2B87" w:rsidRDefault="002B2B87" w:rsidP="002B2B87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>49% want support to deal with bereavement</w:t>
      </w:r>
    </w:p>
    <w:p w:rsidR="002B2B87" w:rsidRDefault="002B2B87" w:rsidP="002B2B87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2B2B87">
        <w:rPr>
          <w:rFonts w:asciiTheme="minorHAnsi" w:hAnsiTheme="minorHAnsi" w:cs="Arial"/>
        </w:rPr>
        <w:t xml:space="preserve">Furthermore, there is a percentage of respondents in Harrow schools </w:t>
      </w:r>
      <w:proofErr w:type="gramStart"/>
      <w:r w:rsidRPr="002B2B87">
        <w:rPr>
          <w:rFonts w:asciiTheme="minorHAnsi" w:hAnsiTheme="minorHAnsi" w:cs="Arial"/>
        </w:rPr>
        <w:t>state  that</w:t>
      </w:r>
      <w:proofErr w:type="gramEnd"/>
      <w:r w:rsidRPr="002B2B87">
        <w:rPr>
          <w:rFonts w:asciiTheme="minorHAnsi" w:hAnsiTheme="minorHAnsi" w:cs="Arial"/>
        </w:rPr>
        <w:t xml:space="preserve"> they would like support around suicidal thought.  This ranges from as high as 16% of respondents.</w:t>
      </w:r>
    </w:p>
    <w:p w:rsidR="00CC73BC" w:rsidRDefault="00CC73BC" w:rsidP="00CC73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table below show emergency admissions </w:t>
      </w:r>
      <w:r w:rsidR="003F5D8A">
        <w:rPr>
          <w:rFonts w:asciiTheme="minorHAnsi" w:hAnsiTheme="minorHAnsi" w:cs="Arial"/>
        </w:rPr>
        <w:t xml:space="preserve">for self harming </w:t>
      </w:r>
      <w:r>
        <w:rPr>
          <w:rFonts w:asciiTheme="minorHAnsi" w:hAnsiTheme="minorHAnsi" w:cs="Arial"/>
        </w:rPr>
        <w:t>in Brent and Harrow all ages including children and young people compared to England and London.</w:t>
      </w:r>
    </w:p>
    <w:p w:rsidR="00D4092C" w:rsidRDefault="00D4092C" w:rsidP="00CC73BC">
      <w:pPr>
        <w:rPr>
          <w:rFonts w:asciiTheme="minorHAnsi" w:hAnsiTheme="minorHAnsi" w:cs="Arial"/>
        </w:rPr>
      </w:pPr>
    </w:p>
    <w:p w:rsidR="00D4092C" w:rsidRDefault="00D4092C" w:rsidP="00CC73BC">
      <w:pPr>
        <w:rPr>
          <w:rFonts w:asciiTheme="minorHAnsi" w:hAnsiTheme="minorHAnsi" w:cs="Arial"/>
        </w:rPr>
      </w:pPr>
    </w:p>
    <w:p w:rsidR="00CC73BC" w:rsidRPr="003F5D8A" w:rsidRDefault="00AE17C9" w:rsidP="00CC73BC">
      <w:pPr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lastRenderedPageBreak/>
        <w:t>Table 3.</w:t>
      </w:r>
      <w:proofErr w:type="gramEnd"/>
      <w:r>
        <w:rPr>
          <w:rFonts w:asciiTheme="minorHAnsi" w:hAnsiTheme="minorHAnsi" w:cs="Arial"/>
          <w:b/>
        </w:rPr>
        <w:t xml:space="preserve"> </w:t>
      </w:r>
      <w:r w:rsidR="003F5D8A">
        <w:rPr>
          <w:rFonts w:asciiTheme="minorHAnsi" w:hAnsiTheme="minorHAnsi" w:cs="Arial"/>
          <w:b/>
        </w:rPr>
        <w:t xml:space="preserve"> </w:t>
      </w:r>
      <w:r w:rsidR="00CC73BC" w:rsidRPr="003F5D8A">
        <w:rPr>
          <w:rFonts w:asciiTheme="minorHAnsi" w:hAnsiTheme="minorHAnsi" w:cs="Arial"/>
          <w:b/>
        </w:rPr>
        <w:t>Self Harm Hospital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275"/>
        <w:gridCol w:w="1418"/>
      </w:tblGrid>
      <w:tr w:rsidR="00CC73BC" w:rsidTr="00420BE2">
        <w:tc>
          <w:tcPr>
            <w:tcW w:w="5353" w:type="dxa"/>
            <w:shd w:val="clear" w:color="auto" w:fill="BFBFBF" w:themeFill="background1" w:themeFillShade="BF"/>
          </w:tcPr>
          <w:p w:rsidR="00CC73BC" w:rsidRDefault="00CC73BC" w:rsidP="00CC73B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CC73BC" w:rsidRPr="00420BE2" w:rsidRDefault="00CC73BC" w:rsidP="00420B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20BE2">
              <w:rPr>
                <w:rFonts w:asciiTheme="minorHAnsi" w:hAnsiTheme="minorHAnsi" w:cs="Arial"/>
                <w:b/>
                <w:color w:val="FFFFFF" w:themeColor="background1"/>
              </w:rPr>
              <w:t>England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C73BC" w:rsidRPr="00420BE2" w:rsidRDefault="00CC73BC" w:rsidP="00420B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20BE2">
              <w:rPr>
                <w:rFonts w:asciiTheme="minorHAnsi" w:hAnsiTheme="minorHAnsi" w:cs="Arial"/>
                <w:b/>
                <w:color w:val="FFFFFF" w:themeColor="background1"/>
              </w:rPr>
              <w:t>London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CC73BC" w:rsidRPr="00420BE2" w:rsidRDefault="00CC73BC" w:rsidP="00420B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20BE2">
              <w:rPr>
                <w:rFonts w:asciiTheme="minorHAnsi" w:hAnsiTheme="minorHAnsi" w:cs="Arial"/>
                <w:b/>
                <w:color w:val="FFFFFF" w:themeColor="background1"/>
              </w:rPr>
              <w:t>Brent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C73BC" w:rsidRPr="00420BE2" w:rsidRDefault="00CC73BC" w:rsidP="00420B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20BE2">
              <w:rPr>
                <w:rFonts w:asciiTheme="minorHAnsi" w:hAnsiTheme="minorHAnsi" w:cs="Arial"/>
                <w:b/>
                <w:color w:val="FFFFFF" w:themeColor="background1"/>
              </w:rPr>
              <w:t>Harrow</w:t>
            </w:r>
          </w:p>
        </w:tc>
      </w:tr>
      <w:tr w:rsidR="00CC73BC" w:rsidTr="00420BE2">
        <w:tc>
          <w:tcPr>
            <w:tcW w:w="5353" w:type="dxa"/>
          </w:tcPr>
          <w:p w:rsidR="00CC73BC" w:rsidRDefault="00CC73BC" w:rsidP="00CC73B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Emergency hospital admissions for intentional self-harm</w:t>
            </w:r>
            <w:r w:rsidR="00420BE2">
              <w:rPr>
                <w:rFonts w:asciiTheme="minorHAnsi" w:hAnsiTheme="minorHAnsi" w:cs="Arial"/>
              </w:rPr>
              <w:t xml:space="preserve"> (standardised rate per 100,000)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34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185.5</w:t>
            </w:r>
          </w:p>
        </w:tc>
        <w:tc>
          <w:tcPr>
            <w:tcW w:w="1418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83.6</w:t>
            </w:r>
          </w:p>
        </w:tc>
        <w:tc>
          <w:tcPr>
            <w:tcW w:w="1275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50.6</w:t>
            </w:r>
          </w:p>
        </w:tc>
        <w:tc>
          <w:tcPr>
            <w:tcW w:w="1418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70.7</w:t>
            </w:r>
          </w:p>
        </w:tc>
      </w:tr>
      <w:tr w:rsidR="00CC73BC" w:rsidTr="00420BE2">
        <w:tc>
          <w:tcPr>
            <w:tcW w:w="5353" w:type="dxa"/>
          </w:tcPr>
          <w:p w:rsidR="00CC73BC" w:rsidRDefault="00CC73BC" w:rsidP="00CC73B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Hospital admissions </w:t>
            </w:r>
            <w:r w:rsidR="003F5D8A">
              <w:rPr>
                <w:rFonts w:asciiTheme="minorHAnsi" w:hAnsiTheme="minorHAnsi" w:cs="Arial"/>
              </w:rPr>
              <w:t>as a result of self-harm (10-24yrs)</w:t>
            </w:r>
          </w:p>
        </w:tc>
        <w:tc>
          <w:tcPr>
            <w:tcW w:w="1134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421.2</w:t>
            </w:r>
          </w:p>
        </w:tc>
        <w:tc>
          <w:tcPr>
            <w:tcW w:w="1418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209.1</w:t>
            </w:r>
          </w:p>
        </w:tc>
        <w:tc>
          <w:tcPr>
            <w:tcW w:w="1275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135.9</w:t>
            </w:r>
          </w:p>
        </w:tc>
        <w:tc>
          <w:tcPr>
            <w:tcW w:w="1418" w:type="dxa"/>
          </w:tcPr>
          <w:p w:rsidR="00CC73BC" w:rsidRDefault="00420BE2" w:rsidP="00420B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195.1</w:t>
            </w:r>
          </w:p>
        </w:tc>
      </w:tr>
    </w:tbl>
    <w:p w:rsidR="00CC73BC" w:rsidRPr="00420BE2" w:rsidRDefault="003F5D8A" w:rsidP="00CC73BC">
      <w:pPr>
        <w:spacing w:after="0" w:line="240" w:lineRule="auto"/>
        <w:rPr>
          <w:rFonts w:asciiTheme="minorHAnsi" w:hAnsiTheme="minorHAnsi" w:cs="Arial"/>
          <w:sz w:val="18"/>
        </w:rPr>
      </w:pPr>
      <w:r w:rsidRPr="00420BE2">
        <w:rPr>
          <w:rFonts w:asciiTheme="minorHAnsi" w:hAnsiTheme="minorHAnsi" w:cs="Arial"/>
          <w:sz w:val="18"/>
        </w:rPr>
        <w:t>Source:  Public Health England, Fingertips</w:t>
      </w:r>
    </w:p>
    <w:p w:rsidR="00420BE2" w:rsidRDefault="00420BE2" w:rsidP="00CC73BC">
      <w:pPr>
        <w:spacing w:after="0" w:line="240" w:lineRule="auto"/>
        <w:rPr>
          <w:rFonts w:asciiTheme="minorHAnsi" w:hAnsiTheme="minorHAnsi" w:cs="Arial"/>
        </w:rPr>
      </w:pPr>
    </w:p>
    <w:p w:rsidR="00420BE2" w:rsidRDefault="00FF46E3" w:rsidP="00CC73BC">
      <w:pPr>
        <w:spacing w:after="0" w:line="240" w:lineRule="auto"/>
        <w:rPr>
          <w:rFonts w:asciiTheme="minorHAnsi" w:hAnsiTheme="minorHAnsi" w:cs="Arial"/>
        </w:rPr>
      </w:pPr>
      <w:r w:rsidRPr="00FF46E3">
        <w:rPr>
          <w:rFonts w:asciiTheme="minorHAnsi" w:hAnsiTheme="minorHAnsi" w:cs="Arial"/>
        </w:rPr>
        <w:t>Services which respond to self-harm are key to suicide preventi</w:t>
      </w:r>
      <w:r>
        <w:rPr>
          <w:rFonts w:asciiTheme="minorHAnsi" w:hAnsiTheme="minorHAnsi" w:cs="Arial"/>
        </w:rPr>
        <w:t xml:space="preserve">on in children and young people.  </w:t>
      </w:r>
      <w:r w:rsidR="002E6A2A">
        <w:rPr>
          <w:rFonts w:asciiTheme="minorHAnsi" w:hAnsiTheme="minorHAnsi" w:cs="Arial"/>
        </w:rPr>
        <w:t>Recommendations for reducing suicide and self harming rates in children and young people include:</w:t>
      </w:r>
    </w:p>
    <w:p w:rsidR="002E6A2A" w:rsidRDefault="002E6A2A" w:rsidP="00CC73BC">
      <w:pPr>
        <w:spacing w:after="0" w:line="240" w:lineRule="auto"/>
        <w:rPr>
          <w:rFonts w:asciiTheme="minorHAnsi" w:hAnsiTheme="minorHAnsi" w:cs="Arial"/>
        </w:rPr>
      </w:pPr>
    </w:p>
    <w:p w:rsidR="002E6A2A" w:rsidRPr="002E6A2A" w:rsidRDefault="002E6A2A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t xml:space="preserve">Support for young people who are bereaved, especially by suicide </w:t>
      </w:r>
    </w:p>
    <w:p w:rsidR="002E6A2A" w:rsidRPr="002E6A2A" w:rsidRDefault="002E6A2A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t>Greater priority for mental health in colleges and universities</w:t>
      </w:r>
    </w:p>
    <w:p w:rsidR="002E6A2A" w:rsidRPr="002E6A2A" w:rsidRDefault="002E6A2A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t>Housing and mental health care for looked after children</w:t>
      </w:r>
    </w:p>
    <w:p w:rsidR="002E6A2A" w:rsidRPr="002E6A2A" w:rsidRDefault="002E6A2A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t>Mental health support for LGBT young people</w:t>
      </w:r>
    </w:p>
    <w:p w:rsidR="002E6A2A" w:rsidRPr="002E6A2A" w:rsidRDefault="002E6A2A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t>Encourage online safety, especially for under 20s</w:t>
      </w:r>
    </w:p>
    <w:p w:rsidR="00420BE2" w:rsidRPr="002E6A2A" w:rsidRDefault="00420BE2" w:rsidP="002E6A2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Arial"/>
        </w:rPr>
      </w:pPr>
      <w:r w:rsidRPr="002E6A2A">
        <w:rPr>
          <w:rFonts w:asciiTheme="minorHAnsi" w:hAnsiTheme="minorHAnsi" w:cs="Arial"/>
        </w:rPr>
        <w:br w:type="page"/>
      </w:r>
    </w:p>
    <w:p w:rsidR="00CF0BC2" w:rsidRPr="00D4092C" w:rsidRDefault="00CF0BC2" w:rsidP="00D4092C">
      <w:pPr>
        <w:pStyle w:val="Heading2"/>
        <w:rPr>
          <w:rFonts w:asciiTheme="minorHAnsi" w:hAnsiTheme="minorHAnsi"/>
          <w:color w:val="auto"/>
        </w:rPr>
      </w:pPr>
      <w:bookmarkStart w:id="14" w:name="_Toc26097760"/>
      <w:bookmarkStart w:id="15" w:name="_Toc26099780"/>
      <w:r w:rsidRPr="00D4092C">
        <w:rPr>
          <w:rFonts w:asciiTheme="minorHAnsi" w:hAnsiTheme="minorHAnsi"/>
          <w:color w:val="auto"/>
        </w:rPr>
        <w:lastRenderedPageBreak/>
        <w:t>Brent and Harrow Suicide Prevention Action Plan</w:t>
      </w:r>
      <w:bookmarkEnd w:id="14"/>
      <w:bookmarkEnd w:id="15"/>
      <w:r w:rsidRPr="00D4092C">
        <w:rPr>
          <w:rFonts w:asciiTheme="minorHAnsi" w:hAnsiTheme="minorHAnsi"/>
          <w:color w:val="auto"/>
        </w:rPr>
        <w:t xml:space="preserve"> </w:t>
      </w:r>
    </w:p>
    <w:p w:rsidR="00CF2BA0" w:rsidRPr="007F3171" w:rsidRDefault="00CF0BC2" w:rsidP="007F3171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national strategy </w:t>
      </w:r>
      <w:r w:rsidR="00695919">
        <w:rPr>
          <w:rFonts w:asciiTheme="minorHAnsi" w:hAnsiTheme="minorHAnsi" w:cs="Arial"/>
        </w:rPr>
        <w:t>preventing</w:t>
      </w:r>
      <w:r>
        <w:rPr>
          <w:rFonts w:asciiTheme="minorHAnsi" w:hAnsiTheme="minorHAnsi" w:cs="Arial"/>
        </w:rPr>
        <w:t xml:space="preserve"> suicide in England: A cross-government outcomes strategy</w:t>
      </w:r>
      <w:r w:rsidR="00286C96">
        <w:rPr>
          <w:rStyle w:val="FootnoteReference"/>
          <w:rFonts w:asciiTheme="minorHAnsi" w:hAnsiTheme="minorHAnsi" w:cs="Arial"/>
        </w:rPr>
        <w:footnoteReference w:id="15"/>
      </w:r>
      <w:r>
        <w:rPr>
          <w:rFonts w:asciiTheme="minorHAnsi" w:hAnsiTheme="minorHAnsi" w:cs="Arial"/>
        </w:rPr>
        <w:t xml:space="preserve"> to save lives recommends that a multi-agency suicide prev</w:t>
      </w:r>
      <w:r w:rsidR="008B6038">
        <w:rPr>
          <w:rFonts w:asciiTheme="minorHAnsi" w:hAnsiTheme="minorHAnsi" w:cs="Arial"/>
        </w:rPr>
        <w:t xml:space="preserve">ention group alongside a local </w:t>
      </w:r>
      <w:r>
        <w:rPr>
          <w:rFonts w:asciiTheme="minorHAnsi" w:hAnsiTheme="minorHAnsi" w:cs="Arial"/>
        </w:rPr>
        <w:t>prevention action plan is collaboratively developed with local partners</w:t>
      </w:r>
      <w:r w:rsidR="00286C96">
        <w:rPr>
          <w:rFonts w:asciiTheme="minorHAnsi" w:hAnsiTheme="minorHAnsi" w:cs="Arial"/>
        </w:rPr>
        <w:t>, drawing on local data and focusi</w:t>
      </w:r>
      <w:r w:rsidR="007F3171">
        <w:rPr>
          <w:rFonts w:asciiTheme="minorHAnsi" w:hAnsiTheme="minorHAnsi" w:cs="Arial"/>
        </w:rPr>
        <w:t>ng on specific areas of action.</w:t>
      </w:r>
    </w:p>
    <w:p w:rsidR="00286C96" w:rsidRDefault="00286C96" w:rsidP="00385752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action plan has six key areas:</w:t>
      </w:r>
    </w:p>
    <w:p w:rsidR="00027E6A" w:rsidRDefault="00027E6A" w:rsidP="00385752">
      <w:pPr>
        <w:pStyle w:val="ListParagraph"/>
        <w:rPr>
          <w:rFonts w:asciiTheme="minorHAnsi" w:hAnsiTheme="minorHAnsi" w:cs="Arial"/>
        </w:rPr>
      </w:pP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Reduce the risk of suicide in key high-risk groups</w:t>
      </w: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Tailor approaches to improve mental health in all groups</w:t>
      </w: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Reduce the access to means of suicide and tackle high frequency locations</w:t>
      </w: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 better information to those bereaved or affected by suicide</w:t>
      </w: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 the media in delivering sensitive approaches to suicide and suicidal behaviour</w:t>
      </w:r>
    </w:p>
    <w:p w:rsidR="00286C96" w:rsidRDefault="00286C96" w:rsidP="00027E6A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 research, data collection and monitoring</w:t>
      </w:r>
    </w:p>
    <w:p w:rsidR="00FF46E3" w:rsidRDefault="00FC208C" w:rsidP="008B60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Action Plan has been developed in partnership with local organisations </w:t>
      </w:r>
      <w:r w:rsidR="00872F2A">
        <w:rPr>
          <w:rFonts w:asciiTheme="minorHAnsi" w:hAnsiTheme="minorHAnsi" w:cs="Arial"/>
        </w:rPr>
        <w:t>that</w:t>
      </w:r>
      <w:r>
        <w:rPr>
          <w:rFonts w:asciiTheme="minorHAnsi" w:hAnsiTheme="minorHAnsi" w:cs="Arial"/>
        </w:rPr>
        <w:t xml:space="preserve"> either commission or deliver services related to mental and emotional health, suic</w:t>
      </w:r>
      <w:r w:rsidR="00872F2A">
        <w:rPr>
          <w:rFonts w:asciiTheme="minorHAnsi" w:hAnsiTheme="minorHAnsi" w:cs="Arial"/>
        </w:rPr>
        <w:t xml:space="preserve">ide and bereavement support.  </w:t>
      </w:r>
    </w:p>
    <w:p w:rsidR="008B6038" w:rsidRDefault="00872F2A" w:rsidP="008B60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Action Plan </w:t>
      </w:r>
      <w:r w:rsidR="00FF46E3">
        <w:rPr>
          <w:rFonts w:asciiTheme="minorHAnsi" w:hAnsiTheme="minorHAnsi" w:cs="Arial"/>
        </w:rPr>
        <w:t>will focus on the tackling suicide rates in men and children and young people in Year 1 (2019-2020).</w:t>
      </w:r>
    </w:p>
    <w:p w:rsidR="00D157FF" w:rsidRPr="00D157FF" w:rsidRDefault="00D157FF" w:rsidP="008B6038">
      <w:pPr>
        <w:rPr>
          <w:rFonts w:asciiTheme="minorHAnsi" w:hAnsiTheme="minorHAnsi" w:cs="Arial"/>
          <w:b/>
        </w:rPr>
      </w:pPr>
      <w:r w:rsidRPr="00D157FF">
        <w:rPr>
          <w:rFonts w:asciiTheme="minorHAnsi" w:hAnsiTheme="minorHAnsi" w:cs="Arial"/>
          <w:b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78"/>
      </w:tblGrid>
      <w:tr w:rsidR="00CE0EDA" w:rsidTr="00D157FF">
        <w:tc>
          <w:tcPr>
            <w:tcW w:w="1384" w:type="dxa"/>
          </w:tcPr>
          <w:p w:rsidR="00CE0EDA" w:rsidRDefault="00CE0EDA" w:rsidP="008B6038">
            <w:pPr>
              <w:rPr>
                <w:rFonts w:asciiTheme="minorHAnsi" w:hAnsiTheme="minorHAnsi" w:cs="Arial"/>
              </w:rPr>
            </w:pPr>
          </w:p>
        </w:tc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:rsidR="00CE0EDA" w:rsidRPr="00D157FF" w:rsidRDefault="00D157FF" w:rsidP="00D157FF">
            <w:pPr>
              <w:rPr>
                <w:rFonts w:asciiTheme="minorHAnsi" w:hAnsiTheme="minorHAnsi" w:cs="Arial"/>
              </w:rPr>
            </w:pPr>
            <w:r w:rsidRPr="00D157FF">
              <w:rPr>
                <w:rFonts w:asciiTheme="minorHAnsi" w:hAnsiTheme="minorHAnsi" w:cs="Arial"/>
              </w:rPr>
              <w:t>Actions for 2019 -2020</w:t>
            </w:r>
          </w:p>
        </w:tc>
      </w:tr>
      <w:tr w:rsidR="00CE0EDA" w:rsidTr="00D157FF">
        <w:tc>
          <w:tcPr>
            <w:tcW w:w="1384" w:type="dxa"/>
            <w:shd w:val="clear" w:color="auto" w:fill="D9D9D9" w:themeFill="background1" w:themeFillShade="D9"/>
          </w:tcPr>
          <w:p w:rsidR="00CE0EDA" w:rsidRDefault="00CE0EDA" w:rsidP="008B6038">
            <w:pPr>
              <w:rPr>
                <w:rFonts w:asciiTheme="minorHAnsi" w:hAnsiTheme="minorHAnsi" w:cs="Arial"/>
              </w:rPr>
            </w:pPr>
          </w:p>
        </w:tc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:rsidR="00CE0EDA" w:rsidRPr="00D157FF" w:rsidRDefault="005306EA" w:rsidP="00D157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Proposed future actions 2021</w:t>
            </w:r>
            <w:r w:rsidR="00D157FF" w:rsidRPr="00D157FF">
              <w:rPr>
                <w:rFonts w:asciiTheme="minorHAnsi" w:hAnsiTheme="minorHAnsi" w:cs="Arial"/>
              </w:rPr>
              <w:t>+</w:t>
            </w:r>
          </w:p>
        </w:tc>
      </w:tr>
    </w:tbl>
    <w:p w:rsidR="008B6038" w:rsidRPr="008B6038" w:rsidRDefault="008B6038" w:rsidP="008B6038">
      <w:pPr>
        <w:rPr>
          <w:rFonts w:asciiTheme="minorHAnsi" w:hAnsiTheme="minorHAnsi" w:cs="Arial"/>
        </w:rPr>
      </w:pPr>
    </w:p>
    <w:p w:rsidR="00027E6A" w:rsidRPr="00561039" w:rsidRDefault="00561039" w:rsidP="0056103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27E6A" w:rsidRPr="00D4092C" w:rsidRDefault="00027E6A" w:rsidP="00027E6A">
      <w:pPr>
        <w:pStyle w:val="Heading1"/>
        <w:rPr>
          <w:sz w:val="26"/>
          <w:szCs w:val="26"/>
        </w:rPr>
      </w:pPr>
      <w:bookmarkStart w:id="16" w:name="_Toc26097761"/>
      <w:bookmarkStart w:id="17" w:name="_Toc26099781"/>
      <w:r w:rsidRPr="00D4092C">
        <w:rPr>
          <w:sz w:val="26"/>
          <w:szCs w:val="26"/>
        </w:rPr>
        <w:lastRenderedPageBreak/>
        <w:t>Action 1: Reduce the risk of suicide in key high-risk groups.</w:t>
      </w:r>
      <w:bookmarkEnd w:id="16"/>
      <w:bookmarkEnd w:id="17"/>
    </w:p>
    <w:p w:rsidR="00027E6A" w:rsidRPr="00027E6A" w:rsidRDefault="00027E6A" w:rsidP="00027E6A">
      <w:pPr>
        <w:pStyle w:val="ListParagraph"/>
        <w:rPr>
          <w:rFonts w:asciiTheme="minorHAnsi" w:hAnsiTheme="minorHAnsi" w:cs="Arial"/>
        </w:rPr>
      </w:pPr>
      <w:r w:rsidRPr="00027E6A">
        <w:rPr>
          <w:rFonts w:asciiTheme="minorHAnsi" w:hAnsiTheme="minorHAnsi" w:cs="Arial"/>
        </w:rPr>
        <w:t>Some groups of people are known to be at higher risk of suicide than the general population.</w:t>
      </w:r>
      <w:r>
        <w:rPr>
          <w:rFonts w:asciiTheme="minorHAnsi" w:hAnsiTheme="minorHAnsi" w:cs="Arial"/>
        </w:rPr>
        <w:t xml:space="preserve">   </w:t>
      </w:r>
      <w:r w:rsidRPr="00027E6A">
        <w:rPr>
          <w:rFonts w:asciiTheme="minorHAnsi" w:hAnsiTheme="minorHAnsi" w:cs="Arial"/>
        </w:rPr>
        <w:t>The groups at high risk of suicide are:</w:t>
      </w:r>
    </w:p>
    <w:p w:rsidR="00027E6A" w:rsidRPr="00D37C53" w:rsidRDefault="00027E6A" w:rsidP="00027E6A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color w:val="FF0000"/>
        </w:rPr>
      </w:pPr>
      <w:r w:rsidRPr="00D37C53">
        <w:rPr>
          <w:rFonts w:asciiTheme="minorHAnsi" w:hAnsiTheme="minorHAnsi" w:cs="Arial"/>
          <w:b/>
          <w:color w:val="FF0000"/>
        </w:rPr>
        <w:t>young and middle-aged men;</w:t>
      </w:r>
    </w:p>
    <w:p w:rsidR="00027E6A" w:rsidRPr="00027E6A" w:rsidRDefault="00352E26" w:rsidP="00027E6A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women and girls</w:t>
      </w:r>
    </w:p>
    <w:p w:rsidR="00027E6A" w:rsidRDefault="00027E6A" w:rsidP="00027E6A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027E6A">
        <w:rPr>
          <w:rFonts w:asciiTheme="minorHAnsi" w:hAnsiTheme="minorHAnsi" w:cs="Arial"/>
        </w:rPr>
        <w:t>people with a history of self-harm;</w:t>
      </w:r>
    </w:p>
    <w:p w:rsidR="00FA4D9F" w:rsidRPr="00561039" w:rsidRDefault="00352E26" w:rsidP="00FA4D9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people who misuse drugs and alcohol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126"/>
        <w:gridCol w:w="1701"/>
        <w:gridCol w:w="1276"/>
        <w:gridCol w:w="1875"/>
      </w:tblGrid>
      <w:tr w:rsidR="005547D7" w:rsidRPr="00D71CFE" w:rsidTr="005547D7">
        <w:tc>
          <w:tcPr>
            <w:tcW w:w="817" w:type="dxa"/>
            <w:shd w:val="clear" w:color="auto" w:fill="B2A1C7" w:themeFill="accent4" w:themeFillTint="99"/>
          </w:tcPr>
          <w:p w:rsidR="00D37C53" w:rsidRPr="00D71CFE" w:rsidRDefault="00D37C53" w:rsidP="009741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Objective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Lead Agency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Due By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Joint Action</w:t>
            </w:r>
          </w:p>
        </w:tc>
        <w:tc>
          <w:tcPr>
            <w:tcW w:w="1875" w:type="dxa"/>
            <w:shd w:val="clear" w:color="auto" w:fill="B2A1C7" w:themeFill="accent4" w:themeFillTint="99"/>
            <w:vAlign w:val="center"/>
          </w:tcPr>
          <w:p w:rsidR="00D37C53" w:rsidRPr="00D71CFE" w:rsidRDefault="00D37C53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Progress 2019-20</w:t>
            </w:r>
          </w:p>
          <w:p w:rsidR="00974138" w:rsidRPr="00D71CFE" w:rsidRDefault="00974138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(RAG)</w:t>
            </w:r>
          </w:p>
        </w:tc>
      </w:tr>
      <w:tr w:rsidR="005547D7" w:rsidRPr="00D71CFE" w:rsidTr="00974138">
        <w:tc>
          <w:tcPr>
            <w:tcW w:w="817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977" w:type="dxa"/>
            <w:vMerge w:val="restart"/>
          </w:tcPr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Reduce the risk of suicides in men</w:t>
            </w:r>
          </w:p>
        </w:tc>
        <w:tc>
          <w:tcPr>
            <w:tcW w:w="3402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Ensure those working with men in different settings, receive suicide prevention training. </w:t>
            </w:r>
          </w:p>
        </w:tc>
        <w:tc>
          <w:tcPr>
            <w:tcW w:w="212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Papyrus, Samaritans</w:t>
            </w:r>
          </w:p>
        </w:tc>
        <w:tc>
          <w:tcPr>
            <w:tcW w:w="1701" w:type="dxa"/>
          </w:tcPr>
          <w:p w:rsidR="005547D7" w:rsidRPr="00D71CFE" w:rsidRDefault="00D157FF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27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547D7" w:rsidRPr="00D71CFE" w:rsidTr="00974138">
        <w:tc>
          <w:tcPr>
            <w:tcW w:w="817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1.2</w:t>
            </w:r>
          </w:p>
        </w:tc>
        <w:tc>
          <w:tcPr>
            <w:tcW w:w="2977" w:type="dxa"/>
            <w:vMerge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Train primary care professionals to recognise signs of distress in men.</w:t>
            </w:r>
          </w:p>
        </w:tc>
        <w:tc>
          <w:tcPr>
            <w:tcW w:w="212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Papyrus, Samaritans, COMPASS</w:t>
            </w:r>
          </w:p>
        </w:tc>
        <w:tc>
          <w:tcPr>
            <w:tcW w:w="1701" w:type="dxa"/>
          </w:tcPr>
          <w:p w:rsidR="005547D7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27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547D7" w:rsidRPr="00D71CFE" w:rsidTr="00974138">
        <w:tc>
          <w:tcPr>
            <w:tcW w:w="817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1.3</w:t>
            </w:r>
          </w:p>
        </w:tc>
        <w:tc>
          <w:tcPr>
            <w:tcW w:w="2977" w:type="dxa"/>
            <w:vMerge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Promote men’s mental health in community locations and traditional male settings</w:t>
            </w:r>
          </w:p>
        </w:tc>
        <w:tc>
          <w:tcPr>
            <w:tcW w:w="212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All Partners  - Public Health, Men’s Health Forum, CALM, Sport/Football Club, Mental Health Foundation, Samaritans</w:t>
            </w:r>
          </w:p>
        </w:tc>
        <w:tc>
          <w:tcPr>
            <w:tcW w:w="1701" w:type="dxa"/>
          </w:tcPr>
          <w:p w:rsidR="005547D7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27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547D7" w:rsidRPr="00D71CFE" w:rsidTr="00974138">
        <w:tc>
          <w:tcPr>
            <w:tcW w:w="817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1.4</w:t>
            </w:r>
          </w:p>
        </w:tc>
        <w:tc>
          <w:tcPr>
            <w:tcW w:w="2977" w:type="dxa"/>
            <w:vMerge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Set up task and finish group to draw up proposals to increase help seeking by men.  Includes focus on Eastern European</w:t>
            </w:r>
            <w:r w:rsidR="00CE0EDA" w:rsidRPr="00D71CFE">
              <w:rPr>
                <w:rFonts w:asciiTheme="minorHAnsi" w:hAnsiTheme="minorHAnsi" w:cs="Arial"/>
              </w:rPr>
              <w:t xml:space="preserve"> men</w:t>
            </w:r>
          </w:p>
        </w:tc>
        <w:tc>
          <w:tcPr>
            <w:tcW w:w="212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Samaritans, Sport/Football Club, CAB and Harrow Learn</w:t>
            </w:r>
          </w:p>
        </w:tc>
        <w:tc>
          <w:tcPr>
            <w:tcW w:w="1701" w:type="dxa"/>
          </w:tcPr>
          <w:p w:rsidR="005547D7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February 2020</w:t>
            </w:r>
          </w:p>
        </w:tc>
        <w:tc>
          <w:tcPr>
            <w:tcW w:w="1276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974138">
        <w:tc>
          <w:tcPr>
            <w:tcW w:w="817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1.5</w:t>
            </w:r>
          </w:p>
        </w:tc>
        <w:tc>
          <w:tcPr>
            <w:tcW w:w="2977" w:type="dxa"/>
            <w:vMerge w:val="restart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 xml:space="preserve">Reduce the risk of suicides </w:t>
            </w:r>
            <w:r w:rsidRPr="00D71CFE">
              <w:rPr>
                <w:rFonts w:asciiTheme="minorHAnsi" w:hAnsiTheme="minorHAnsi" w:cs="Arial"/>
                <w:b/>
              </w:rPr>
              <w:lastRenderedPageBreak/>
              <w:t>and self-harm in children and young people</w:t>
            </w: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03661" w:rsidRPr="00D71CFE" w:rsidRDefault="00903661" w:rsidP="005126D2">
            <w:pPr>
              <w:rPr>
                <w:rFonts w:asciiTheme="minorHAnsi" w:hAnsiTheme="minorHAnsi" w:cs="Arial"/>
              </w:rPr>
            </w:pPr>
          </w:p>
          <w:p w:rsidR="00903661" w:rsidRPr="00D71CFE" w:rsidRDefault="00903661" w:rsidP="005126D2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03661" w:rsidRPr="00D71CFE" w:rsidRDefault="00903661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lastRenderedPageBreak/>
              <w:t>Provide accessible suicide prevention information and materials to those in contact with children and young people</w:t>
            </w:r>
          </w:p>
        </w:tc>
        <w:tc>
          <w:tcPr>
            <w:tcW w:w="2126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Young Harrow Foundation, Public Health</w:t>
            </w:r>
          </w:p>
        </w:tc>
        <w:tc>
          <w:tcPr>
            <w:tcW w:w="1701" w:type="dxa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276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974138">
        <w:tc>
          <w:tcPr>
            <w:tcW w:w="817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lastRenderedPageBreak/>
              <w:t>1.6</w:t>
            </w:r>
          </w:p>
        </w:tc>
        <w:tc>
          <w:tcPr>
            <w:tcW w:w="2977" w:type="dxa"/>
            <w:vMerge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03661" w:rsidRPr="00D71CFE" w:rsidRDefault="00903661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Improve access to early intervention programmes and support for children and young people</w:t>
            </w:r>
          </w:p>
        </w:tc>
        <w:tc>
          <w:tcPr>
            <w:tcW w:w="2126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Young Harrow Foundation, WISH Centre, Molly Rose Foundation, KOOTH, COMPASS</w:t>
            </w:r>
          </w:p>
        </w:tc>
        <w:tc>
          <w:tcPr>
            <w:tcW w:w="1701" w:type="dxa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276" w:type="dxa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974138">
        <w:tc>
          <w:tcPr>
            <w:tcW w:w="817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lastRenderedPageBreak/>
              <w:t>1.7</w:t>
            </w:r>
          </w:p>
        </w:tc>
        <w:tc>
          <w:tcPr>
            <w:tcW w:w="2977" w:type="dxa"/>
            <w:vMerge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03661" w:rsidRPr="00D71CFE" w:rsidRDefault="00903661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Ensure that schools undertake online safety training.</w:t>
            </w:r>
          </w:p>
        </w:tc>
        <w:tc>
          <w:tcPr>
            <w:tcW w:w="2126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</w:t>
            </w:r>
          </w:p>
        </w:tc>
        <w:tc>
          <w:tcPr>
            <w:tcW w:w="1701" w:type="dxa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276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DD49DC">
        <w:tc>
          <w:tcPr>
            <w:tcW w:w="817" w:type="dxa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1.8</w:t>
            </w:r>
          </w:p>
        </w:tc>
        <w:tc>
          <w:tcPr>
            <w:tcW w:w="2977" w:type="dxa"/>
            <w:vMerge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661" w:rsidRPr="00D71CFE" w:rsidRDefault="00903661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Offer all schools suicide prevention training and policy support</w:t>
            </w:r>
            <w:r w:rsidR="006E71F3">
              <w:rPr>
                <w:rFonts w:asciiTheme="minorHAnsi" w:hAnsiTheme="minorHAnsi" w:cs="Arial"/>
              </w:rPr>
              <w:t xml:space="preserve">. </w:t>
            </w:r>
            <w:r w:rsidR="006E71F3" w:rsidRPr="006E71F3">
              <w:rPr>
                <w:rFonts w:asciiTheme="minorHAnsi" w:hAnsiTheme="minorHAnsi" w:cs="Arial"/>
              </w:rPr>
              <w:t>Including audit of policies in schools</w:t>
            </w:r>
            <w:r w:rsidRPr="00D71CF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Papyrus, Samaritans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DD49DC">
        <w:tc>
          <w:tcPr>
            <w:tcW w:w="817" w:type="dxa"/>
          </w:tcPr>
          <w:p w:rsidR="00903661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2977" w:type="dxa"/>
            <w:vMerge/>
          </w:tcPr>
          <w:p w:rsidR="00903661" w:rsidRPr="00D71CFE" w:rsidRDefault="00903661" w:rsidP="006B1512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661" w:rsidRPr="00D71CFE" w:rsidRDefault="00D71CFE" w:rsidP="00D71CF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Develop an online resource for parents to support self-harm and suicide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661" w:rsidRPr="00D71CFE" w:rsidRDefault="00D71CFE" w:rsidP="00D71CF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Harrow Young Foundation, </w:t>
            </w:r>
            <w:r w:rsidR="00903661" w:rsidRPr="00D71CFE">
              <w:rPr>
                <w:rFonts w:asciiTheme="minorHAnsi" w:hAnsiTheme="minorHAnsi" w:cs="Arial"/>
              </w:rPr>
              <w:t>CAMHS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661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December </w:t>
            </w:r>
            <w:r w:rsidR="00D71CFE" w:rsidRPr="00D71CF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03661" w:rsidRPr="00D71CFE" w:rsidTr="00D71CFE">
        <w:tc>
          <w:tcPr>
            <w:tcW w:w="817" w:type="dxa"/>
          </w:tcPr>
          <w:p w:rsidR="00903661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03661" w:rsidRPr="00D71CFE" w:rsidRDefault="00903661" w:rsidP="006B1512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661" w:rsidRPr="00D71CFE" w:rsidRDefault="00D71CFE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Map and review referral pathways for CAMHS and increase suicide prevention training amongst staff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Harrow and Brent CCG,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661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D71CFE" w:rsidRPr="00D71CFE">
              <w:rPr>
                <w:rFonts w:asciiTheme="minorHAnsi" w:hAnsiTheme="minorHAnsi" w:cs="Arial"/>
              </w:rPr>
              <w:t xml:space="preserve"> -2024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661" w:rsidRPr="00D71CFE" w:rsidRDefault="00D71CFE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661" w:rsidRPr="00D71CFE" w:rsidRDefault="00903661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1CFE" w:rsidRPr="00D71CFE" w:rsidTr="005547D7">
        <w:tc>
          <w:tcPr>
            <w:tcW w:w="817" w:type="dxa"/>
          </w:tcPr>
          <w:p w:rsidR="005547D7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1.11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Women and Girls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Review the emerging evidence of women and girls self-harming and suicide rates in Brent and Harrow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Pan London Information Hub, Public Health, CDOP (STP)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7D7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CE0EDA" w:rsidRPr="00D71CFE">
              <w:rPr>
                <w:rFonts w:asciiTheme="minorHAnsi" w:hAnsiTheme="minorHAnsi" w:cs="Arial"/>
              </w:rPr>
              <w:t xml:space="preserve"> – 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1CFE" w:rsidRPr="00D71CFE" w:rsidTr="005547D7">
        <w:tc>
          <w:tcPr>
            <w:tcW w:w="817" w:type="dxa"/>
          </w:tcPr>
          <w:p w:rsidR="005547D7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1.12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Map services that support women and girls and embed self-harm and suicide prevention training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Voluntary Action, WISH Centre, Harrow Women’s Centre, </w:t>
            </w:r>
            <w:proofErr w:type="spellStart"/>
            <w:r w:rsidRPr="00D71CFE">
              <w:rPr>
                <w:rFonts w:asciiTheme="minorHAnsi" w:hAnsiTheme="minorHAnsi" w:cs="Arial"/>
              </w:rPr>
              <w:t>Diwa</w:t>
            </w:r>
            <w:proofErr w:type="spellEnd"/>
            <w:r w:rsidRPr="00D71CFE">
              <w:rPr>
                <w:rFonts w:asciiTheme="minorHAnsi" w:hAnsiTheme="minorHAnsi" w:cs="Arial"/>
              </w:rPr>
              <w:t xml:space="preserve"> Asian Women’s Network, Harrow CYP Safeguarding Board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7D7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5547D7" w:rsidRPr="00D71CFE">
              <w:rPr>
                <w:rFonts w:asciiTheme="minorHAnsi" w:hAnsiTheme="minorHAnsi" w:cs="Arial"/>
              </w:rPr>
              <w:t xml:space="preserve"> </w:t>
            </w:r>
            <w:r w:rsidR="00CE0EDA" w:rsidRPr="00D71CFE">
              <w:rPr>
                <w:rFonts w:asciiTheme="minorHAnsi" w:hAnsiTheme="minorHAnsi" w:cs="Arial"/>
              </w:rPr>
              <w:t>–</w:t>
            </w:r>
            <w:r w:rsidR="005547D7" w:rsidRPr="00D71CFE">
              <w:rPr>
                <w:rFonts w:asciiTheme="minorHAnsi" w:hAnsiTheme="minorHAnsi" w:cs="Arial"/>
              </w:rPr>
              <w:t xml:space="preserve"> 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1CFE" w:rsidRPr="00D71CFE" w:rsidTr="005547D7">
        <w:tc>
          <w:tcPr>
            <w:tcW w:w="817" w:type="dxa"/>
          </w:tcPr>
          <w:p w:rsidR="005547D7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1.13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Audit pathway for people attending Emergency Department following suicide or self-harm attempt to ensure clear support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NHS Acute Trusts</w:t>
            </w: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CNWL, Imperial NHS Trust and LNWHT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7D7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5547D7" w:rsidRPr="00D71CFE">
              <w:rPr>
                <w:rFonts w:asciiTheme="minorHAnsi" w:hAnsiTheme="minorHAnsi" w:cs="Arial"/>
              </w:rPr>
              <w:t>-2024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1CFE" w:rsidRPr="00D71CFE" w:rsidTr="005547D7">
        <w:tc>
          <w:tcPr>
            <w:tcW w:w="817" w:type="dxa"/>
          </w:tcPr>
          <w:p w:rsidR="005547D7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1.14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547D7" w:rsidRPr="00D71CFE" w:rsidRDefault="005547D7" w:rsidP="005547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People with a history of self harm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Audit to investigate whether GP’s are contacted with details of suicidal/vulnerable person who have attended the Emergency Department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Brent and Harrow CCG’s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7D7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5547D7" w:rsidRPr="00D71CFE">
              <w:rPr>
                <w:rFonts w:asciiTheme="minorHAnsi" w:hAnsiTheme="minorHAnsi" w:cs="Arial"/>
              </w:rPr>
              <w:t>-2024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1CFE" w:rsidRPr="00D71CFE" w:rsidTr="005547D7">
        <w:tc>
          <w:tcPr>
            <w:tcW w:w="817" w:type="dxa"/>
          </w:tcPr>
          <w:p w:rsidR="005547D7" w:rsidRPr="00D71CFE" w:rsidRDefault="00BA0FA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1.15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547D7" w:rsidRPr="00D71CFE" w:rsidRDefault="005547D7" w:rsidP="00930C9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Review peer to peer support model for self-harm based on recommended good practice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WISH Centre, Public Health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7D7" w:rsidRPr="00D71CFE" w:rsidRDefault="00303816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5547D7" w:rsidRPr="00D71CFE">
              <w:rPr>
                <w:rFonts w:asciiTheme="minorHAnsi" w:hAnsiTheme="minorHAnsi" w:cs="Arial"/>
              </w:rPr>
              <w:t>-2024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547D7" w:rsidRPr="00D71CFE" w:rsidRDefault="005547D7" w:rsidP="00D37C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61039" w:rsidRPr="00D71CFE" w:rsidRDefault="00561039" w:rsidP="00D37C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37C53" w:rsidRDefault="00D37C53" w:rsidP="00D37C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71CFE" w:rsidRDefault="00D71CF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AB4417" w:rsidRPr="00D4092C" w:rsidRDefault="00AB4417" w:rsidP="00AB4417">
      <w:pPr>
        <w:rPr>
          <w:rFonts w:asciiTheme="minorHAnsi" w:hAnsiTheme="minorHAnsi" w:cs="Arial"/>
          <w:b/>
          <w:sz w:val="26"/>
          <w:szCs w:val="26"/>
        </w:rPr>
      </w:pPr>
      <w:r w:rsidRPr="00D4092C">
        <w:rPr>
          <w:rFonts w:asciiTheme="minorHAnsi" w:hAnsiTheme="minorHAnsi" w:cs="Arial"/>
          <w:b/>
          <w:sz w:val="26"/>
          <w:szCs w:val="26"/>
        </w:rPr>
        <w:lastRenderedPageBreak/>
        <w:t>Action 2: Tailor approaches to improve mental health in all groups</w:t>
      </w:r>
    </w:p>
    <w:p w:rsidR="00AB4417" w:rsidRPr="00651066" w:rsidRDefault="00AB4417" w:rsidP="00027E6A">
      <w:pPr>
        <w:rPr>
          <w:rFonts w:asciiTheme="minorHAnsi" w:hAnsiTheme="minorHAnsi" w:cs="Arial"/>
        </w:rPr>
      </w:pPr>
      <w:r w:rsidRPr="00AB4417">
        <w:rPr>
          <w:rFonts w:asciiTheme="minorHAnsi" w:hAnsiTheme="minorHAnsi" w:cs="Arial"/>
        </w:rPr>
        <w:t>As well as targeting high-risk groups, another way to reduce suicide is to improve the mental health of the population as a whole.</w:t>
      </w:r>
      <w:r>
        <w:rPr>
          <w:rFonts w:asciiTheme="minorHAnsi" w:hAnsiTheme="minorHAnsi" w:cs="Arial"/>
        </w:rPr>
        <w:t xml:space="preserve">  This needs to include </w:t>
      </w:r>
      <w:r w:rsidRPr="00AB4417">
        <w:rPr>
          <w:rFonts w:asciiTheme="minorHAnsi" w:hAnsiTheme="minorHAnsi" w:cs="Arial"/>
        </w:rPr>
        <w:t>tailored measures for groups with particular vulnerabilities or problems with access to services</w:t>
      </w:r>
      <w:r>
        <w:rPr>
          <w:rFonts w:asciiTheme="minorHAnsi" w:hAnsiTheme="minorHAnsi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2409"/>
        <w:gridCol w:w="1560"/>
        <w:gridCol w:w="1701"/>
        <w:gridCol w:w="1733"/>
      </w:tblGrid>
      <w:tr w:rsidR="00F67A76" w:rsidRPr="00D71CFE" w:rsidTr="00D71CFE">
        <w:tc>
          <w:tcPr>
            <w:tcW w:w="817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Objective</w:t>
            </w:r>
          </w:p>
        </w:tc>
        <w:tc>
          <w:tcPr>
            <w:tcW w:w="3261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Lead Agency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Due By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Joint Action</w:t>
            </w:r>
          </w:p>
        </w:tc>
        <w:tc>
          <w:tcPr>
            <w:tcW w:w="1733" w:type="dxa"/>
            <w:shd w:val="clear" w:color="auto" w:fill="B2A1C7" w:themeFill="accent4" w:themeFillTint="99"/>
          </w:tcPr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Progress 2019-20</w:t>
            </w:r>
          </w:p>
          <w:p w:rsidR="00F67A76" w:rsidRPr="00D71CFE" w:rsidRDefault="00F67A76" w:rsidP="00F67A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(RAG)</w:t>
            </w: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2693" w:type="dxa"/>
            <w:vMerge w:val="restart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Reduce the risk of suicides in men</w:t>
            </w: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Ensure GP’s understand and utilise mental health pathways and are able to sign post confidently to local services including social prescribing 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Harrow and Brent CCG, Public Health</w:t>
            </w:r>
          </w:p>
        </w:tc>
        <w:tc>
          <w:tcPr>
            <w:tcW w:w="1560" w:type="dxa"/>
          </w:tcPr>
          <w:p w:rsidR="009E7890" w:rsidRPr="00D71CFE" w:rsidRDefault="0030381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 2020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 to scope options for service user support of suicide prevention work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Harrow Employment Services</w:t>
            </w:r>
          </w:p>
        </w:tc>
        <w:tc>
          <w:tcPr>
            <w:tcW w:w="1560" w:type="dxa"/>
          </w:tcPr>
          <w:p w:rsidR="009E7890" w:rsidRPr="00D71CFE" w:rsidRDefault="0030381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Promote and deliver Mental Health First Aid Training for adults and Suicide Prevention training to NHS staff including ED staff and other allied professionals such as pharmacies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Harrow and Brent CCG, NHS Trusts</w:t>
            </w:r>
          </w:p>
        </w:tc>
        <w:tc>
          <w:tcPr>
            <w:tcW w:w="1560" w:type="dxa"/>
          </w:tcPr>
          <w:p w:rsidR="009E7890" w:rsidRPr="00D71CFE" w:rsidRDefault="0030381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2693" w:type="dxa"/>
            <w:vMerge w:val="restart"/>
          </w:tcPr>
          <w:p w:rsidR="009E7890" w:rsidRPr="00D71CFE" w:rsidRDefault="009E7890" w:rsidP="0090366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90366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90366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90366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E7890" w:rsidRPr="00D71CFE" w:rsidRDefault="009E7890" w:rsidP="0090366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Reduce the risk of suicides and self-harm in children and young people</w:t>
            </w: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Promote mental health first aid youth training and suicide prevention training to school staff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Young Harrow Foundation</w:t>
            </w:r>
          </w:p>
        </w:tc>
        <w:tc>
          <w:tcPr>
            <w:tcW w:w="1560" w:type="dxa"/>
          </w:tcPr>
          <w:p w:rsidR="009E7890" w:rsidRPr="00D71CFE" w:rsidRDefault="0030381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</w:tcPr>
          <w:p w:rsidR="009E7890" w:rsidRPr="00D71CFE" w:rsidRDefault="009E7890" w:rsidP="0005599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Link emerging  actions from the </w:t>
            </w:r>
            <w:r w:rsidRPr="00055991">
              <w:rPr>
                <w:rFonts w:asciiTheme="minorHAnsi" w:hAnsiTheme="minorHAnsi" w:cs="Arial"/>
                <w:b/>
                <w:i/>
              </w:rPr>
              <w:t>Action for Change</w:t>
            </w:r>
            <w:r w:rsidR="00055991">
              <w:rPr>
                <w:rFonts w:asciiTheme="minorHAnsi" w:hAnsiTheme="minorHAnsi" w:cs="Arial"/>
              </w:rPr>
              <w:t xml:space="preserve"> project</w:t>
            </w:r>
            <w:r w:rsidRPr="00D71CFE">
              <w:rPr>
                <w:rFonts w:asciiTheme="minorHAnsi" w:hAnsiTheme="minorHAnsi" w:cs="Arial"/>
              </w:rPr>
              <w:t xml:space="preserve"> in Harrow </w:t>
            </w:r>
            <w:r w:rsidR="00055991">
              <w:rPr>
                <w:rFonts w:asciiTheme="minorHAnsi" w:hAnsiTheme="minorHAnsi" w:cs="Arial"/>
              </w:rPr>
              <w:t xml:space="preserve">and Anna Freud </w:t>
            </w:r>
            <w:r w:rsidR="00055991" w:rsidRPr="00055991">
              <w:rPr>
                <w:rFonts w:asciiTheme="minorHAnsi" w:hAnsiTheme="minorHAnsi" w:cs="Arial"/>
                <w:b/>
                <w:i/>
              </w:rPr>
              <w:t xml:space="preserve">Link Programme </w:t>
            </w:r>
            <w:r w:rsidR="00055991">
              <w:rPr>
                <w:rFonts w:asciiTheme="minorHAnsi" w:hAnsiTheme="minorHAnsi" w:cs="Arial"/>
              </w:rPr>
              <w:t>with the CCG to AP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Young Harrow Foundation</w:t>
            </w:r>
            <w:r w:rsidR="00055991">
              <w:rPr>
                <w:rFonts w:asciiTheme="minorHAnsi" w:hAnsiTheme="minorHAnsi" w:cs="Arial"/>
              </w:rPr>
              <w:t>, Brent and Harrow CCG</w:t>
            </w:r>
          </w:p>
        </w:tc>
        <w:tc>
          <w:tcPr>
            <w:tcW w:w="1560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Provide mental health advice and support to schools and early years settings including linking to </w:t>
            </w:r>
            <w:r w:rsidRPr="00D71CFE">
              <w:rPr>
                <w:rFonts w:asciiTheme="minorHAnsi" w:hAnsiTheme="minorHAnsi" w:cs="Arial"/>
              </w:rPr>
              <w:lastRenderedPageBreak/>
              <w:t xml:space="preserve">Healthy Schools London and Healthy Early Years London programme. 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lastRenderedPageBreak/>
              <w:t xml:space="preserve">Public Health, Healthy Schools and Healthy Early Years settings, HS: </w:t>
            </w:r>
            <w:r w:rsidRPr="00D71CFE">
              <w:rPr>
                <w:rFonts w:asciiTheme="minorHAnsi" w:hAnsiTheme="minorHAnsi" w:cs="Arial"/>
              </w:rPr>
              <w:lastRenderedPageBreak/>
              <w:t>Team (Harrow Schools, Thriving Emotionally And Mentally)</w:t>
            </w:r>
          </w:p>
        </w:tc>
        <w:tc>
          <w:tcPr>
            <w:tcW w:w="1560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2.7</w:t>
            </w:r>
          </w:p>
        </w:tc>
        <w:tc>
          <w:tcPr>
            <w:tcW w:w="2693" w:type="dxa"/>
            <w:vMerge w:val="restart"/>
          </w:tcPr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055991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</w:p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71CFE">
              <w:rPr>
                <w:rFonts w:asciiTheme="minorHAnsi" w:hAnsiTheme="minorHAnsi" w:cs="Arial"/>
                <w:b/>
              </w:rPr>
              <w:t>Reduce the risk of suicides and improve mental health in all groups in Brent and Harrow</w:t>
            </w: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Work with local businesses to raise awareness of suicide and mental health by promoting Thrive LDN suicide prevention training and MHFA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Public Health, Harrow Economic development, Papyrus, Samaritans</w:t>
            </w:r>
          </w:p>
        </w:tc>
        <w:tc>
          <w:tcPr>
            <w:tcW w:w="1560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5954" w:rsidRPr="00D71CFE" w:rsidTr="000946ED">
        <w:tc>
          <w:tcPr>
            <w:tcW w:w="817" w:type="dxa"/>
          </w:tcPr>
          <w:p w:rsidR="00705954" w:rsidRPr="00D71CFE" w:rsidRDefault="005306EA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2.8</w:t>
            </w:r>
          </w:p>
        </w:tc>
        <w:tc>
          <w:tcPr>
            <w:tcW w:w="2693" w:type="dxa"/>
            <w:vMerge/>
          </w:tcPr>
          <w:p w:rsidR="00705954" w:rsidRPr="00D71CFE" w:rsidRDefault="00705954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705954" w:rsidRPr="00D71CFE" w:rsidRDefault="00705954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Contribute and promote national campaigns on mental health and suicide prevention e.g. WMHD, Suicide Prevention Day</w:t>
            </w:r>
          </w:p>
        </w:tc>
        <w:tc>
          <w:tcPr>
            <w:tcW w:w="2409" w:type="dxa"/>
          </w:tcPr>
          <w:p w:rsidR="00705954" w:rsidRPr="00D71CFE" w:rsidRDefault="00705954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All partners</w:t>
            </w:r>
          </w:p>
        </w:tc>
        <w:tc>
          <w:tcPr>
            <w:tcW w:w="1560" w:type="dxa"/>
          </w:tcPr>
          <w:p w:rsidR="00705954" w:rsidRPr="00D71CFE" w:rsidRDefault="00705954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705954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705954" w:rsidRPr="00D71CFE" w:rsidRDefault="00705954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5306EA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2.9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Build on the current joint working arrangements for co-morbidity by Harrow substance </w:t>
            </w:r>
            <w:proofErr w:type="spellStart"/>
            <w:r w:rsidRPr="00D71CFE">
              <w:rPr>
                <w:rFonts w:asciiTheme="minorHAnsi" w:hAnsiTheme="minorHAnsi" w:cs="Arial"/>
              </w:rPr>
              <w:t>mis</w:t>
            </w:r>
            <w:proofErr w:type="spellEnd"/>
            <w:r w:rsidRPr="00D71CFE">
              <w:rPr>
                <w:rFonts w:asciiTheme="minorHAnsi" w:hAnsiTheme="minorHAnsi" w:cs="Arial"/>
              </w:rPr>
              <w:t xml:space="preserve">-use services and Harrow mental health 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WDP, CNWL</w:t>
            </w:r>
          </w:p>
        </w:tc>
        <w:tc>
          <w:tcPr>
            <w:tcW w:w="1560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E71F3" w:rsidRPr="00D71CFE" w:rsidTr="000946ED">
        <w:tc>
          <w:tcPr>
            <w:tcW w:w="817" w:type="dxa"/>
          </w:tcPr>
          <w:p w:rsidR="006E71F3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2.10</w:t>
            </w:r>
          </w:p>
        </w:tc>
        <w:tc>
          <w:tcPr>
            <w:tcW w:w="2693" w:type="dxa"/>
            <w:vMerge/>
          </w:tcPr>
          <w:p w:rsidR="006E71F3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6E71F3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E71F3">
              <w:rPr>
                <w:rFonts w:asciiTheme="minorHAnsi" w:hAnsiTheme="minorHAnsi" w:cs="Arial"/>
              </w:rPr>
              <w:t>Develop a peer mentoring /youth ambassadors programme to champion SP</w:t>
            </w:r>
          </w:p>
        </w:tc>
        <w:tc>
          <w:tcPr>
            <w:tcW w:w="2409" w:type="dxa"/>
          </w:tcPr>
          <w:p w:rsidR="006E71F3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partners</w:t>
            </w:r>
          </w:p>
        </w:tc>
        <w:tc>
          <w:tcPr>
            <w:tcW w:w="1560" w:type="dxa"/>
          </w:tcPr>
          <w:p w:rsidR="006E71F3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6E71F3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6E71F3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2.11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Engage with charities and interfaith groups to improve understand and knowledge of suicide, linking actions to the </w:t>
            </w:r>
            <w:r w:rsidR="006E71F3">
              <w:rPr>
                <w:rFonts w:asciiTheme="minorHAnsi" w:hAnsiTheme="minorHAnsi" w:cs="Arial"/>
              </w:rPr>
              <w:t xml:space="preserve">Safeguarding Board </w:t>
            </w:r>
            <w:r w:rsidRPr="00D71CFE">
              <w:rPr>
                <w:rFonts w:asciiTheme="minorHAnsi" w:hAnsiTheme="minorHAnsi" w:cs="Arial"/>
              </w:rPr>
              <w:t>Green Book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Voluntary Action Harrow, Public Health, Thrive LDN, Safeguarding Board</w:t>
            </w:r>
          </w:p>
        </w:tc>
        <w:tc>
          <w:tcPr>
            <w:tcW w:w="1560" w:type="dxa"/>
          </w:tcPr>
          <w:p w:rsidR="009E7890" w:rsidRPr="00D71CFE" w:rsidRDefault="00BA0FA6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E7890" w:rsidRPr="00D71CFE" w:rsidTr="000946ED">
        <w:tc>
          <w:tcPr>
            <w:tcW w:w="817" w:type="dxa"/>
          </w:tcPr>
          <w:p w:rsidR="009E7890" w:rsidRPr="00D71CFE" w:rsidRDefault="006E71F3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2.12</w:t>
            </w:r>
          </w:p>
        </w:tc>
        <w:tc>
          <w:tcPr>
            <w:tcW w:w="2693" w:type="dxa"/>
            <w:vMerge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Work with universities and colleges to review their current arrangements for students in crisis</w:t>
            </w:r>
          </w:p>
        </w:tc>
        <w:tc>
          <w:tcPr>
            <w:tcW w:w="2409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Brent Public Health, Universities and colleges.</w:t>
            </w:r>
          </w:p>
        </w:tc>
        <w:tc>
          <w:tcPr>
            <w:tcW w:w="1560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701" w:type="dxa"/>
          </w:tcPr>
          <w:p w:rsidR="009E7890" w:rsidRPr="00D71CFE" w:rsidRDefault="00D71CFE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Brent</w:t>
            </w:r>
          </w:p>
        </w:tc>
        <w:tc>
          <w:tcPr>
            <w:tcW w:w="1733" w:type="dxa"/>
          </w:tcPr>
          <w:p w:rsidR="009E7890" w:rsidRPr="00D71CFE" w:rsidRDefault="009E7890" w:rsidP="00CE0E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306EA" w:rsidRPr="00D71CFE" w:rsidTr="005306EA">
        <w:tc>
          <w:tcPr>
            <w:tcW w:w="817" w:type="dxa"/>
          </w:tcPr>
          <w:p w:rsidR="005306EA" w:rsidRPr="00D71CFE" w:rsidRDefault="006E71F3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2.13</w:t>
            </w:r>
          </w:p>
        </w:tc>
        <w:tc>
          <w:tcPr>
            <w:tcW w:w="2693" w:type="dxa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t xml:space="preserve">Use contract mechanisms to ensure suicide awareness training is built into all contracts.  All new </w:t>
            </w:r>
            <w:r w:rsidRPr="00D71CFE">
              <w:rPr>
                <w:rFonts w:asciiTheme="minorHAnsi" w:hAnsiTheme="minorHAnsi" w:cs="Arial"/>
              </w:rPr>
              <w:lastRenderedPageBreak/>
              <w:t>contracts to include requirements for suicide prevention and intervention training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1CFE">
              <w:rPr>
                <w:rFonts w:asciiTheme="minorHAnsi" w:hAnsiTheme="minorHAnsi" w:cs="Arial"/>
              </w:rPr>
              <w:lastRenderedPageBreak/>
              <w:t xml:space="preserve">Brent and Harrow commissions, CCG commissioners, </w:t>
            </w:r>
            <w:r w:rsidRPr="00D71CFE">
              <w:rPr>
                <w:rFonts w:asciiTheme="minorHAnsi" w:hAnsiTheme="minorHAnsi" w:cs="Arial"/>
              </w:rPr>
              <w:lastRenderedPageBreak/>
              <w:t>Safeguarding Board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2021 -2024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306EA" w:rsidRPr="00D71CFE" w:rsidRDefault="005306EA" w:rsidP="00DD49D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AB4417" w:rsidRPr="00D4092C" w:rsidRDefault="00AB4417" w:rsidP="00AB4417">
      <w:pPr>
        <w:pStyle w:val="Heading1"/>
        <w:rPr>
          <w:sz w:val="26"/>
          <w:szCs w:val="26"/>
        </w:rPr>
      </w:pPr>
      <w:bookmarkStart w:id="18" w:name="_Toc26097762"/>
      <w:bookmarkStart w:id="19" w:name="_Toc26099782"/>
      <w:r w:rsidRPr="00D4092C">
        <w:rPr>
          <w:sz w:val="26"/>
          <w:szCs w:val="26"/>
        </w:rPr>
        <w:lastRenderedPageBreak/>
        <w:t>Action 3:  Reduce the access to means of suicide and tackle high frequency locations</w:t>
      </w:r>
      <w:bookmarkEnd w:id="18"/>
      <w:bookmarkEnd w:id="19"/>
    </w:p>
    <w:p w:rsidR="00DF1870" w:rsidRPr="00EA16E9" w:rsidRDefault="00EA16E9" w:rsidP="00EA16E9">
      <w:r>
        <w:t>In order to tackle impulsive and opportunistic a</w:t>
      </w:r>
      <w:r w:rsidR="00E51BF4">
        <w:t>ttempts of suicide is to reduce</w:t>
      </w:r>
      <w:r w:rsidRPr="00EA16E9">
        <w:t xml:space="preserve"> access to high-lethality means of suicide</w:t>
      </w:r>
      <w:r>
        <w:t>.  As an example, e</w:t>
      </w:r>
      <w:r w:rsidRPr="00EA16E9">
        <w:t>vidence suggests that loss of life can be prevented when local agencies work together to discourage suicides at high-risk locations, including sites that temporarily become suicide hot-spots following a suicide death</w:t>
      </w:r>
      <w:r w:rsidR="00D4092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090"/>
        <w:gridCol w:w="3430"/>
        <w:gridCol w:w="1701"/>
        <w:gridCol w:w="1560"/>
        <w:gridCol w:w="1559"/>
        <w:gridCol w:w="1875"/>
      </w:tblGrid>
      <w:tr w:rsidR="00DF1870" w:rsidRPr="00BA0FA6" w:rsidTr="00BA0FA6">
        <w:tc>
          <w:tcPr>
            <w:tcW w:w="959" w:type="dxa"/>
            <w:shd w:val="clear" w:color="auto" w:fill="B2A1C7" w:themeFill="accent4" w:themeFillTint="99"/>
          </w:tcPr>
          <w:p w:rsidR="00DF1870" w:rsidRPr="00DB6051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90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Objective</w:t>
            </w:r>
          </w:p>
        </w:tc>
        <w:tc>
          <w:tcPr>
            <w:tcW w:w="3430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Lead Agency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Due By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Joint Action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Progress 2019-20</w:t>
            </w:r>
          </w:p>
          <w:p w:rsidR="00DF1870" w:rsidRPr="00BA0FA6" w:rsidRDefault="00DF1870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A0FA6">
              <w:rPr>
                <w:rFonts w:asciiTheme="minorHAnsi" w:hAnsiTheme="minorHAnsi" w:cs="Arial"/>
                <w:b/>
              </w:rPr>
              <w:t>(RAG)</w:t>
            </w:r>
          </w:p>
        </w:tc>
      </w:tr>
      <w:tr w:rsidR="00DF1870" w:rsidRPr="00BA0FA6" w:rsidTr="00840E03">
        <w:tc>
          <w:tcPr>
            <w:tcW w:w="959" w:type="dxa"/>
          </w:tcPr>
          <w:p w:rsidR="00DF1870" w:rsidRPr="00DB6051" w:rsidRDefault="00DB605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20" w:name="_Toc26097763"/>
            <w:bookmarkStart w:id="21" w:name="_Toc26099783"/>
            <w:r w:rsidRPr="00DB6051">
              <w:rPr>
                <w:b w:val="0"/>
              </w:rPr>
              <w:t>2.1</w:t>
            </w:r>
            <w:bookmarkEnd w:id="20"/>
            <w:bookmarkEnd w:id="21"/>
          </w:p>
        </w:tc>
        <w:tc>
          <w:tcPr>
            <w:tcW w:w="3090" w:type="dxa"/>
          </w:tcPr>
          <w:p w:rsidR="00DF1870" w:rsidRPr="00BA0FA6" w:rsidRDefault="00DF1299" w:rsidP="00DF1870">
            <w:pPr>
              <w:pStyle w:val="Heading1"/>
              <w:spacing w:after="0" w:line="240" w:lineRule="auto"/>
            </w:pPr>
            <w:bookmarkStart w:id="22" w:name="_Toc26097764"/>
            <w:bookmarkStart w:id="23" w:name="_Toc26099784"/>
            <w:r w:rsidRPr="00BA0FA6">
              <w:t>Reduce the risk of suicides in men</w:t>
            </w:r>
            <w:bookmarkEnd w:id="22"/>
            <w:bookmarkEnd w:id="23"/>
          </w:p>
        </w:tc>
        <w:tc>
          <w:tcPr>
            <w:tcW w:w="3430" w:type="dxa"/>
          </w:tcPr>
          <w:p w:rsidR="00DF1870" w:rsidRPr="00BA0FA6" w:rsidRDefault="00DF1299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24" w:name="_Toc26097765"/>
            <w:bookmarkStart w:id="25" w:name="_Toc26099785"/>
            <w:r w:rsidRPr="00BA0FA6">
              <w:rPr>
                <w:b w:val="0"/>
              </w:rPr>
              <w:t>Identify high risk locations and review signposting at these locations</w:t>
            </w:r>
            <w:bookmarkEnd w:id="24"/>
            <w:bookmarkEnd w:id="25"/>
          </w:p>
        </w:tc>
        <w:tc>
          <w:tcPr>
            <w:tcW w:w="1701" w:type="dxa"/>
          </w:tcPr>
          <w:p w:rsidR="00DF1870" w:rsidRPr="00BA0FA6" w:rsidRDefault="00DF1870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  <w:tc>
          <w:tcPr>
            <w:tcW w:w="1560" w:type="dxa"/>
          </w:tcPr>
          <w:p w:rsidR="00DF1870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26" w:name="_Toc26097766"/>
            <w:bookmarkStart w:id="27" w:name="_Toc26099786"/>
            <w:r w:rsidRPr="00BA0FA6">
              <w:rPr>
                <w:b w:val="0"/>
              </w:rPr>
              <w:t>Ongoing</w:t>
            </w:r>
            <w:bookmarkEnd w:id="26"/>
            <w:bookmarkEnd w:id="27"/>
          </w:p>
        </w:tc>
        <w:tc>
          <w:tcPr>
            <w:tcW w:w="1559" w:type="dxa"/>
          </w:tcPr>
          <w:p w:rsidR="00DF1870" w:rsidRPr="00BA0FA6" w:rsidRDefault="00AA5CB9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28" w:name="_Toc26097767"/>
            <w:bookmarkStart w:id="29" w:name="_Toc26099787"/>
            <w:r w:rsidRPr="00BA0FA6">
              <w:rPr>
                <w:b w:val="0"/>
              </w:rPr>
              <w:t>Joint</w:t>
            </w:r>
            <w:bookmarkEnd w:id="28"/>
            <w:bookmarkEnd w:id="29"/>
          </w:p>
        </w:tc>
        <w:tc>
          <w:tcPr>
            <w:tcW w:w="1875" w:type="dxa"/>
          </w:tcPr>
          <w:p w:rsidR="00DF1870" w:rsidRPr="00BA0FA6" w:rsidRDefault="00DF1870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</w:tr>
      <w:tr w:rsidR="00DF1870" w:rsidRPr="00BA0FA6" w:rsidTr="00840E03">
        <w:tc>
          <w:tcPr>
            <w:tcW w:w="959" w:type="dxa"/>
          </w:tcPr>
          <w:p w:rsidR="00DF1870" w:rsidRPr="00DB6051" w:rsidRDefault="00DB605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30" w:name="_Toc26097768"/>
            <w:bookmarkStart w:id="31" w:name="_Toc26099788"/>
            <w:r w:rsidRPr="00DB6051">
              <w:rPr>
                <w:b w:val="0"/>
              </w:rPr>
              <w:t>2.2</w:t>
            </w:r>
            <w:bookmarkEnd w:id="30"/>
            <w:bookmarkEnd w:id="31"/>
          </w:p>
        </w:tc>
        <w:tc>
          <w:tcPr>
            <w:tcW w:w="3090" w:type="dxa"/>
          </w:tcPr>
          <w:p w:rsidR="00DF1870" w:rsidRPr="00BA0FA6" w:rsidRDefault="00DF1299" w:rsidP="00DF1870">
            <w:pPr>
              <w:pStyle w:val="Heading1"/>
              <w:spacing w:after="0" w:line="240" w:lineRule="auto"/>
            </w:pPr>
            <w:bookmarkStart w:id="32" w:name="_Toc26097769"/>
            <w:bookmarkStart w:id="33" w:name="_Toc26099789"/>
            <w:r w:rsidRPr="00BA0FA6">
              <w:t>Reduce the risk of self-harm and suicide in children and young people</w:t>
            </w:r>
            <w:bookmarkEnd w:id="32"/>
            <w:bookmarkEnd w:id="33"/>
          </w:p>
        </w:tc>
        <w:tc>
          <w:tcPr>
            <w:tcW w:w="3430" w:type="dxa"/>
          </w:tcPr>
          <w:p w:rsidR="00DF1870" w:rsidRPr="00BA0FA6" w:rsidRDefault="00912A97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34" w:name="_Toc26097770"/>
            <w:bookmarkStart w:id="35" w:name="_Toc26099790"/>
            <w:r w:rsidRPr="00BA0FA6">
              <w:rPr>
                <w:b w:val="0"/>
              </w:rPr>
              <w:t>Cont</w:t>
            </w:r>
            <w:r w:rsidR="00705954" w:rsidRPr="00BA0FA6">
              <w:rPr>
                <w:b w:val="0"/>
              </w:rPr>
              <w:t xml:space="preserve">ribute and support </w:t>
            </w:r>
            <w:r w:rsidR="00E51BF4" w:rsidRPr="00BA0FA6">
              <w:rPr>
                <w:b w:val="0"/>
              </w:rPr>
              <w:t>national campaigns that focus on reducing suicide and self-harm ideation</w:t>
            </w:r>
            <w:bookmarkEnd w:id="34"/>
            <w:bookmarkEnd w:id="35"/>
          </w:p>
        </w:tc>
        <w:tc>
          <w:tcPr>
            <w:tcW w:w="1701" w:type="dxa"/>
          </w:tcPr>
          <w:p w:rsidR="00DF1870" w:rsidRPr="00BA0FA6" w:rsidRDefault="00E51BF4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36" w:name="_Toc26097771"/>
            <w:bookmarkStart w:id="37" w:name="_Toc26099791"/>
            <w:r w:rsidRPr="00BA0FA6">
              <w:rPr>
                <w:b w:val="0"/>
              </w:rPr>
              <w:t>Public Health</w:t>
            </w:r>
            <w:r w:rsidR="00AA5CB9" w:rsidRPr="00BA0FA6">
              <w:rPr>
                <w:b w:val="0"/>
              </w:rPr>
              <w:t>, Papyrus, Samaritans</w:t>
            </w:r>
            <w:bookmarkEnd w:id="36"/>
            <w:bookmarkEnd w:id="37"/>
          </w:p>
        </w:tc>
        <w:tc>
          <w:tcPr>
            <w:tcW w:w="1560" w:type="dxa"/>
          </w:tcPr>
          <w:p w:rsidR="00DF1870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38" w:name="_Toc26097772"/>
            <w:bookmarkStart w:id="39" w:name="_Toc26099792"/>
            <w:r w:rsidRPr="00BA0FA6">
              <w:rPr>
                <w:b w:val="0"/>
              </w:rPr>
              <w:t>Ongoing</w:t>
            </w:r>
            <w:bookmarkEnd w:id="38"/>
            <w:bookmarkEnd w:id="39"/>
          </w:p>
        </w:tc>
        <w:tc>
          <w:tcPr>
            <w:tcW w:w="1559" w:type="dxa"/>
          </w:tcPr>
          <w:p w:rsidR="00DF1870" w:rsidRPr="00BA0FA6" w:rsidRDefault="00AA5CB9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40" w:name="_Toc26097773"/>
            <w:bookmarkStart w:id="41" w:name="_Toc26099793"/>
            <w:r w:rsidRPr="00BA0FA6">
              <w:rPr>
                <w:b w:val="0"/>
              </w:rPr>
              <w:t>Joint</w:t>
            </w:r>
            <w:bookmarkEnd w:id="40"/>
            <w:bookmarkEnd w:id="41"/>
          </w:p>
        </w:tc>
        <w:tc>
          <w:tcPr>
            <w:tcW w:w="1875" w:type="dxa"/>
          </w:tcPr>
          <w:p w:rsidR="00DF1870" w:rsidRPr="00BA0FA6" w:rsidRDefault="00DF1870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</w:tr>
      <w:tr w:rsidR="00580DB1" w:rsidRPr="00BA0FA6" w:rsidTr="00BA0FA6">
        <w:tc>
          <w:tcPr>
            <w:tcW w:w="959" w:type="dxa"/>
            <w:shd w:val="clear" w:color="auto" w:fill="D9D9D9" w:themeFill="background1" w:themeFillShade="D9"/>
          </w:tcPr>
          <w:p w:rsidR="00580DB1" w:rsidRPr="00DB6051" w:rsidRDefault="00DB605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42" w:name="_Toc26097774"/>
            <w:bookmarkStart w:id="43" w:name="_Toc26099794"/>
            <w:r w:rsidRPr="00DB6051">
              <w:rPr>
                <w:b w:val="0"/>
              </w:rPr>
              <w:t>2.3</w:t>
            </w:r>
            <w:bookmarkEnd w:id="42"/>
            <w:bookmarkEnd w:id="43"/>
          </w:p>
        </w:tc>
        <w:tc>
          <w:tcPr>
            <w:tcW w:w="3090" w:type="dxa"/>
            <w:vMerge w:val="restart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  <w:p w:rsidR="00580DB1" w:rsidRPr="00BA0FA6" w:rsidRDefault="00580DB1" w:rsidP="00DF1870">
            <w:pPr>
              <w:pStyle w:val="Heading1"/>
              <w:spacing w:after="0" w:line="240" w:lineRule="auto"/>
            </w:pPr>
            <w:bookmarkStart w:id="44" w:name="_Toc26097775"/>
            <w:bookmarkStart w:id="45" w:name="_Toc26099795"/>
            <w:r w:rsidRPr="00BA0FA6">
              <w:t>Reduce the risk of suicides and improve mental health in all groups in Brent and Harrow</w:t>
            </w:r>
            <w:bookmarkEnd w:id="44"/>
            <w:bookmarkEnd w:id="45"/>
          </w:p>
        </w:tc>
        <w:tc>
          <w:tcPr>
            <w:tcW w:w="3430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46" w:name="_Toc26097776"/>
            <w:bookmarkStart w:id="47" w:name="_Toc26099796"/>
            <w:r w:rsidRPr="00BA0FA6">
              <w:rPr>
                <w:b w:val="0"/>
              </w:rPr>
              <w:t>Feedback on actions undertaken from British Transport and Network Rail</w:t>
            </w:r>
            <w:bookmarkEnd w:id="46"/>
            <w:bookmarkEnd w:id="47"/>
          </w:p>
        </w:tc>
        <w:tc>
          <w:tcPr>
            <w:tcW w:w="1701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48" w:name="_Toc26097777"/>
            <w:bookmarkStart w:id="49" w:name="_Toc26099797"/>
            <w:r w:rsidRPr="00BA0FA6">
              <w:rPr>
                <w:b w:val="0"/>
              </w:rPr>
              <w:t>BTP, Network Rail, Samaritans, Papyrus</w:t>
            </w:r>
            <w:bookmarkEnd w:id="48"/>
            <w:bookmarkEnd w:id="49"/>
          </w:p>
        </w:tc>
        <w:tc>
          <w:tcPr>
            <w:tcW w:w="1560" w:type="dxa"/>
            <w:shd w:val="clear" w:color="auto" w:fill="D9D9D9" w:themeFill="background1" w:themeFillShade="D9"/>
          </w:tcPr>
          <w:p w:rsidR="00580DB1" w:rsidRPr="00BA0FA6" w:rsidRDefault="00BA0FA6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50" w:name="_Toc26097778"/>
            <w:bookmarkStart w:id="51" w:name="_Toc26099798"/>
            <w:r>
              <w:rPr>
                <w:b w:val="0"/>
              </w:rPr>
              <w:t>2021-2024</w:t>
            </w:r>
            <w:bookmarkEnd w:id="50"/>
            <w:bookmarkEnd w:id="51"/>
          </w:p>
        </w:tc>
        <w:tc>
          <w:tcPr>
            <w:tcW w:w="1559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52" w:name="_Toc26097779"/>
            <w:bookmarkStart w:id="53" w:name="_Toc26099799"/>
            <w:r w:rsidRPr="00BA0FA6">
              <w:rPr>
                <w:b w:val="0"/>
              </w:rPr>
              <w:t>Joint</w:t>
            </w:r>
            <w:bookmarkEnd w:id="52"/>
            <w:bookmarkEnd w:id="53"/>
          </w:p>
        </w:tc>
        <w:tc>
          <w:tcPr>
            <w:tcW w:w="1875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</w:tr>
      <w:tr w:rsidR="00580DB1" w:rsidRPr="00BA0FA6" w:rsidTr="00BA0FA6">
        <w:tc>
          <w:tcPr>
            <w:tcW w:w="959" w:type="dxa"/>
            <w:shd w:val="clear" w:color="auto" w:fill="D9D9D9" w:themeFill="background1" w:themeFillShade="D9"/>
          </w:tcPr>
          <w:p w:rsidR="00580DB1" w:rsidRPr="00DB6051" w:rsidRDefault="00DB605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54" w:name="_Toc26097780"/>
            <w:bookmarkStart w:id="55" w:name="_Toc26099800"/>
            <w:r w:rsidRPr="00DB6051">
              <w:rPr>
                <w:b w:val="0"/>
              </w:rPr>
              <w:t>2.4</w:t>
            </w:r>
            <w:bookmarkEnd w:id="54"/>
            <w:bookmarkEnd w:id="55"/>
          </w:p>
        </w:tc>
        <w:tc>
          <w:tcPr>
            <w:tcW w:w="3090" w:type="dxa"/>
            <w:vMerge/>
          </w:tcPr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56" w:name="_Toc26097781"/>
            <w:bookmarkStart w:id="57" w:name="_Toc26099801"/>
            <w:r w:rsidRPr="00BA0FA6">
              <w:rPr>
                <w:b w:val="0"/>
              </w:rPr>
              <w:t>Partnership group to engage with pharmacists to review safety of prescribing practices</w:t>
            </w:r>
            <w:bookmarkEnd w:id="56"/>
            <w:bookmarkEnd w:id="57"/>
          </w:p>
        </w:tc>
        <w:tc>
          <w:tcPr>
            <w:tcW w:w="1701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58" w:name="_Toc26097782"/>
            <w:bookmarkStart w:id="59" w:name="_Toc26099802"/>
            <w:r w:rsidRPr="00BA0FA6">
              <w:rPr>
                <w:b w:val="0"/>
              </w:rPr>
              <w:t>Brent and Harrow CCG, Pharmacists, Public Health</w:t>
            </w:r>
            <w:bookmarkEnd w:id="58"/>
            <w:bookmarkEnd w:id="59"/>
          </w:p>
        </w:tc>
        <w:tc>
          <w:tcPr>
            <w:tcW w:w="1560" w:type="dxa"/>
            <w:shd w:val="clear" w:color="auto" w:fill="D9D9D9" w:themeFill="background1" w:themeFillShade="D9"/>
          </w:tcPr>
          <w:p w:rsidR="00580DB1" w:rsidRPr="00BA0FA6" w:rsidRDefault="00BA0FA6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60" w:name="_Toc26097783"/>
            <w:bookmarkStart w:id="61" w:name="_Toc26099803"/>
            <w:r>
              <w:rPr>
                <w:b w:val="0"/>
              </w:rPr>
              <w:t>2021-2024</w:t>
            </w:r>
            <w:bookmarkEnd w:id="60"/>
            <w:bookmarkEnd w:id="61"/>
          </w:p>
        </w:tc>
        <w:tc>
          <w:tcPr>
            <w:tcW w:w="1559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62" w:name="_Toc26097784"/>
            <w:bookmarkStart w:id="63" w:name="_Toc26099804"/>
            <w:r w:rsidRPr="00BA0FA6">
              <w:rPr>
                <w:b w:val="0"/>
              </w:rPr>
              <w:t>Joint</w:t>
            </w:r>
            <w:bookmarkEnd w:id="62"/>
            <w:bookmarkEnd w:id="63"/>
          </w:p>
        </w:tc>
        <w:tc>
          <w:tcPr>
            <w:tcW w:w="1875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</w:tr>
      <w:tr w:rsidR="00580DB1" w:rsidRPr="00BA0FA6" w:rsidTr="00BA0FA6">
        <w:tc>
          <w:tcPr>
            <w:tcW w:w="959" w:type="dxa"/>
            <w:shd w:val="clear" w:color="auto" w:fill="D9D9D9" w:themeFill="background1" w:themeFillShade="D9"/>
          </w:tcPr>
          <w:p w:rsidR="00580DB1" w:rsidRPr="00DB6051" w:rsidRDefault="00DB605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64" w:name="_Toc26097785"/>
            <w:bookmarkStart w:id="65" w:name="_Toc26099805"/>
            <w:r w:rsidRPr="00DB6051">
              <w:rPr>
                <w:b w:val="0"/>
              </w:rPr>
              <w:t>2.5</w:t>
            </w:r>
            <w:bookmarkEnd w:id="64"/>
            <w:bookmarkEnd w:id="65"/>
          </w:p>
        </w:tc>
        <w:tc>
          <w:tcPr>
            <w:tcW w:w="3090" w:type="dxa"/>
            <w:vMerge/>
          </w:tcPr>
          <w:p w:rsidR="00580DB1" w:rsidRPr="00BA0FA6" w:rsidRDefault="00580DB1" w:rsidP="00DF1870">
            <w:pPr>
              <w:pStyle w:val="Heading1"/>
              <w:spacing w:after="0" w:line="240" w:lineRule="auto"/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66" w:name="_Toc26097786"/>
            <w:bookmarkStart w:id="67" w:name="_Toc26099806"/>
            <w:r w:rsidRPr="00BA0FA6">
              <w:rPr>
                <w:b w:val="0"/>
              </w:rPr>
              <w:t>Further work by CNWL to reduce access to means of suicide in inpatient facilities and reduce absconding among detained patients – may be useful</w:t>
            </w:r>
            <w:bookmarkEnd w:id="66"/>
            <w:bookmarkEnd w:id="67"/>
          </w:p>
        </w:tc>
        <w:tc>
          <w:tcPr>
            <w:tcW w:w="1701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68" w:name="_Toc26097787"/>
            <w:bookmarkStart w:id="69" w:name="_Toc26099807"/>
            <w:r w:rsidRPr="00BA0FA6">
              <w:rPr>
                <w:b w:val="0"/>
              </w:rPr>
              <w:t>CNWL, Public Health</w:t>
            </w:r>
            <w:bookmarkEnd w:id="68"/>
            <w:bookmarkEnd w:id="69"/>
          </w:p>
        </w:tc>
        <w:tc>
          <w:tcPr>
            <w:tcW w:w="1560" w:type="dxa"/>
            <w:shd w:val="clear" w:color="auto" w:fill="D9D9D9" w:themeFill="background1" w:themeFillShade="D9"/>
          </w:tcPr>
          <w:p w:rsidR="00580DB1" w:rsidRPr="00BA0FA6" w:rsidRDefault="00BA0FA6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70" w:name="_Toc26097788"/>
            <w:bookmarkStart w:id="71" w:name="_Toc26099808"/>
            <w:r>
              <w:rPr>
                <w:b w:val="0"/>
              </w:rPr>
              <w:t>2021-2024</w:t>
            </w:r>
            <w:bookmarkEnd w:id="70"/>
            <w:bookmarkEnd w:id="71"/>
          </w:p>
        </w:tc>
        <w:tc>
          <w:tcPr>
            <w:tcW w:w="1559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  <w:bookmarkStart w:id="72" w:name="_Toc26097789"/>
            <w:bookmarkStart w:id="73" w:name="_Toc26099809"/>
            <w:r w:rsidRPr="00BA0FA6">
              <w:rPr>
                <w:b w:val="0"/>
              </w:rPr>
              <w:t>Brent</w:t>
            </w:r>
            <w:bookmarkEnd w:id="72"/>
            <w:bookmarkEnd w:id="73"/>
          </w:p>
        </w:tc>
        <w:tc>
          <w:tcPr>
            <w:tcW w:w="1875" w:type="dxa"/>
            <w:shd w:val="clear" w:color="auto" w:fill="D9D9D9" w:themeFill="background1" w:themeFillShade="D9"/>
          </w:tcPr>
          <w:p w:rsidR="00580DB1" w:rsidRPr="00BA0FA6" w:rsidRDefault="00580DB1" w:rsidP="00DF1870">
            <w:pPr>
              <w:pStyle w:val="Heading1"/>
              <w:spacing w:after="0" w:line="240" w:lineRule="auto"/>
              <w:rPr>
                <w:b w:val="0"/>
              </w:rPr>
            </w:pPr>
          </w:p>
        </w:tc>
      </w:tr>
    </w:tbl>
    <w:p w:rsidR="00BA0FA6" w:rsidRDefault="00BA0FA6" w:rsidP="00EA16E9">
      <w:pPr>
        <w:pStyle w:val="Heading1"/>
        <w:rPr>
          <w:sz w:val="24"/>
        </w:rPr>
      </w:pPr>
    </w:p>
    <w:p w:rsidR="00BA0FA6" w:rsidRDefault="00BA0FA6">
      <w:pPr>
        <w:spacing w:after="0" w:line="240" w:lineRule="auto"/>
        <w:rPr>
          <w:rFonts w:asciiTheme="minorHAnsi" w:hAnsiTheme="minorHAnsi" w:cs="Arial"/>
          <w:b/>
          <w:sz w:val="24"/>
        </w:rPr>
      </w:pPr>
      <w:r>
        <w:rPr>
          <w:sz w:val="24"/>
        </w:rPr>
        <w:br w:type="page"/>
      </w:r>
    </w:p>
    <w:p w:rsidR="00AB4417" w:rsidRPr="00D4092C" w:rsidRDefault="00AB4417" w:rsidP="00EA16E9">
      <w:pPr>
        <w:pStyle w:val="Heading1"/>
        <w:rPr>
          <w:sz w:val="26"/>
          <w:szCs w:val="26"/>
        </w:rPr>
      </w:pPr>
      <w:bookmarkStart w:id="74" w:name="_Toc26097790"/>
      <w:bookmarkStart w:id="75" w:name="_Toc26099810"/>
      <w:r w:rsidRPr="00D4092C">
        <w:rPr>
          <w:sz w:val="26"/>
          <w:szCs w:val="26"/>
        </w:rPr>
        <w:lastRenderedPageBreak/>
        <w:t>Action 4:  Provide better information to those bereaved or affected by suicide</w:t>
      </w:r>
      <w:bookmarkEnd w:id="74"/>
      <w:bookmarkEnd w:id="75"/>
    </w:p>
    <w:p w:rsidR="00EA16E9" w:rsidRPr="00EA16E9" w:rsidRDefault="00EA16E9" w:rsidP="00EA16E9">
      <w:pPr>
        <w:rPr>
          <w:rFonts w:asciiTheme="minorHAnsi" w:hAnsiTheme="minorHAnsi" w:cs="Arial"/>
        </w:rPr>
      </w:pPr>
      <w:r w:rsidRPr="00EA16E9">
        <w:rPr>
          <w:rFonts w:asciiTheme="minorHAnsi" w:hAnsiTheme="minorHAnsi" w:cs="Arial"/>
        </w:rPr>
        <w:t>Effective and timely emotional and practical support for families bereaved or affected by suicide is essential to help the grieving process, prevent further or longer-term emotional distress and support recovery.</w:t>
      </w:r>
      <w:r w:rsidRPr="00EA16E9">
        <w:t xml:space="preserve"> </w:t>
      </w:r>
      <w:r>
        <w:t xml:space="preserve"> </w:t>
      </w:r>
      <w:r w:rsidRPr="00EA16E9">
        <w:rPr>
          <w:rFonts w:asciiTheme="minorHAnsi" w:hAnsiTheme="minorHAnsi" w:cs="Arial"/>
        </w:rPr>
        <w:t>It is important that GPs are vigilant to the potential vulnerability of family members when someone takes their own life</w:t>
      </w:r>
      <w:r>
        <w:rPr>
          <w:rFonts w:asciiTheme="minorHAnsi" w:hAnsiTheme="minorHAnsi" w:cs="Arial"/>
        </w:rPr>
        <w:t>.  Providing better information for those bereaved means</w:t>
      </w:r>
    </w:p>
    <w:p w:rsidR="00EA16E9" w:rsidRPr="00E61718" w:rsidRDefault="00EA16E9" w:rsidP="00E61718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E61718">
        <w:rPr>
          <w:rFonts w:asciiTheme="minorHAnsi" w:hAnsiTheme="minorHAnsi" w:cs="Arial"/>
        </w:rPr>
        <w:t>providing support that is effective and timely;</w:t>
      </w:r>
    </w:p>
    <w:p w:rsidR="00EA16E9" w:rsidRPr="00E61718" w:rsidRDefault="00EA16E9" w:rsidP="00E61718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E61718">
        <w:rPr>
          <w:rFonts w:asciiTheme="minorHAnsi" w:hAnsiTheme="minorHAnsi" w:cs="Arial"/>
        </w:rPr>
        <w:t xml:space="preserve">having effective local responses </w:t>
      </w:r>
      <w:r w:rsidR="00651066" w:rsidRPr="00E61718">
        <w:rPr>
          <w:rFonts w:asciiTheme="minorHAnsi" w:hAnsiTheme="minorHAnsi" w:cs="Arial"/>
        </w:rPr>
        <w:t xml:space="preserve">in place </w:t>
      </w:r>
      <w:r w:rsidRPr="00E61718">
        <w:rPr>
          <w:rFonts w:asciiTheme="minorHAnsi" w:hAnsiTheme="minorHAnsi" w:cs="Arial"/>
        </w:rPr>
        <w:t>to the aftermath of a suicide; and</w:t>
      </w:r>
    </w:p>
    <w:p w:rsidR="00EA16E9" w:rsidRPr="00E61718" w:rsidRDefault="00EA16E9" w:rsidP="00E61718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proofErr w:type="gramStart"/>
      <w:r w:rsidRPr="00E61718">
        <w:rPr>
          <w:rFonts w:asciiTheme="minorHAnsi" w:hAnsiTheme="minorHAnsi" w:cs="Arial"/>
        </w:rPr>
        <w:t>providing</w:t>
      </w:r>
      <w:proofErr w:type="gramEnd"/>
      <w:r w:rsidRPr="00E61718">
        <w:rPr>
          <w:rFonts w:asciiTheme="minorHAnsi" w:hAnsiTheme="minorHAnsi" w:cs="Arial"/>
        </w:rPr>
        <w:t xml:space="preserve"> information and support for families, friends and colleagues who are concerned about someone who may be at risk of suicide.</w:t>
      </w:r>
    </w:p>
    <w:p w:rsidR="008635DA" w:rsidRDefault="008635DA" w:rsidP="00F97C1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32"/>
        <w:gridCol w:w="3147"/>
        <w:gridCol w:w="2126"/>
        <w:gridCol w:w="1418"/>
        <w:gridCol w:w="1559"/>
        <w:gridCol w:w="1875"/>
      </w:tblGrid>
      <w:tr w:rsidR="00F97C15" w:rsidRPr="00E51BF4" w:rsidTr="00BA0FA6">
        <w:tc>
          <w:tcPr>
            <w:tcW w:w="817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232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Objective</w:t>
            </w:r>
          </w:p>
        </w:tc>
        <w:tc>
          <w:tcPr>
            <w:tcW w:w="3147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Action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Lead Agency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Due By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Joint Action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Progress 2019-20</w:t>
            </w:r>
          </w:p>
          <w:p w:rsidR="00F97C15" w:rsidRPr="00E51BF4" w:rsidRDefault="00F97C1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(RAG)</w:t>
            </w:r>
          </w:p>
        </w:tc>
      </w:tr>
      <w:tr w:rsidR="00F97C15" w:rsidTr="00F97C15">
        <w:tc>
          <w:tcPr>
            <w:tcW w:w="817" w:type="dxa"/>
          </w:tcPr>
          <w:p w:rsidR="00F97C15" w:rsidRDefault="00DB6051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232" w:type="dxa"/>
          </w:tcPr>
          <w:p w:rsidR="00F97C15" w:rsidRPr="00840E03" w:rsidRDefault="00840E03" w:rsidP="00F97C1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40E03">
              <w:rPr>
                <w:rFonts w:asciiTheme="minorHAnsi" w:hAnsiTheme="minorHAnsi" w:cs="Arial"/>
                <w:b/>
              </w:rPr>
              <w:t>Reduce the risk of self-harm and suicide in children and young people</w:t>
            </w:r>
          </w:p>
        </w:tc>
        <w:tc>
          <w:tcPr>
            <w:tcW w:w="3147" w:type="dxa"/>
          </w:tcPr>
          <w:p w:rsidR="00F97C15" w:rsidRDefault="00840E03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Promote support offer to schools and siblings of those who have died by suicide</w:t>
            </w:r>
          </w:p>
        </w:tc>
        <w:tc>
          <w:tcPr>
            <w:tcW w:w="2126" w:type="dxa"/>
          </w:tcPr>
          <w:p w:rsidR="00F97C15" w:rsidRDefault="00840E03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 Health, Papyrus, Samaritans, Brent &amp; Harrow Bereavement Care, Educational Psychology service, Brent and Harrow commissioning</w:t>
            </w:r>
          </w:p>
        </w:tc>
        <w:tc>
          <w:tcPr>
            <w:tcW w:w="1418" w:type="dxa"/>
          </w:tcPr>
          <w:p w:rsidR="00F97C15" w:rsidRDefault="00840E03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559" w:type="dxa"/>
          </w:tcPr>
          <w:p w:rsidR="00F97C15" w:rsidRDefault="00840E03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F97C15" w:rsidRDefault="00F97C15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F2F44" w:rsidTr="00F97C15">
        <w:tc>
          <w:tcPr>
            <w:tcW w:w="817" w:type="dxa"/>
          </w:tcPr>
          <w:p w:rsidR="000F2F44" w:rsidRDefault="00DB6051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3232" w:type="dxa"/>
            <w:vMerge w:val="restart"/>
          </w:tcPr>
          <w:p w:rsidR="000F2F44" w:rsidRDefault="000F2F44" w:rsidP="00F97C15">
            <w:pPr>
              <w:spacing w:after="0" w:line="240" w:lineRule="auto"/>
              <w:rPr>
                <w:b/>
                <w:sz w:val="24"/>
              </w:rPr>
            </w:pPr>
          </w:p>
          <w:p w:rsidR="000F2F44" w:rsidRDefault="000F2F44" w:rsidP="00F97C15">
            <w:pPr>
              <w:spacing w:after="0" w:line="240" w:lineRule="auto"/>
              <w:rPr>
                <w:b/>
                <w:sz w:val="24"/>
              </w:rPr>
            </w:pPr>
          </w:p>
          <w:p w:rsidR="000F2F44" w:rsidRDefault="000F2F44" w:rsidP="00F97C15">
            <w:pPr>
              <w:spacing w:after="0" w:line="240" w:lineRule="auto"/>
              <w:rPr>
                <w:b/>
                <w:sz w:val="24"/>
              </w:rPr>
            </w:pPr>
          </w:p>
          <w:p w:rsidR="000F2F44" w:rsidRPr="000F2F44" w:rsidRDefault="000F2F44" w:rsidP="00F97C1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2F44">
              <w:rPr>
                <w:b/>
                <w:sz w:val="24"/>
              </w:rPr>
              <w:t>Reduce the risk of suicides and improve mental health in all groups in Brent and Harrow</w:t>
            </w:r>
          </w:p>
        </w:tc>
        <w:tc>
          <w:tcPr>
            <w:tcW w:w="3147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Promote NW London Postvention Service once support is established</w:t>
            </w:r>
          </w:p>
        </w:tc>
        <w:tc>
          <w:tcPr>
            <w:tcW w:w="2126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partners, NW London Partners</w:t>
            </w:r>
          </w:p>
        </w:tc>
        <w:tc>
          <w:tcPr>
            <w:tcW w:w="1418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2020</w:t>
            </w:r>
          </w:p>
        </w:tc>
        <w:tc>
          <w:tcPr>
            <w:tcW w:w="1559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F2F44" w:rsidTr="00F97C15">
        <w:tc>
          <w:tcPr>
            <w:tcW w:w="817" w:type="dxa"/>
          </w:tcPr>
          <w:p w:rsidR="000F2F44" w:rsidRDefault="00DB6051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3232" w:type="dxa"/>
            <w:vMerge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147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Utilise Help is at Hand z-card distribution in community settings, front line staff and primary care staff</w:t>
            </w:r>
          </w:p>
        </w:tc>
        <w:tc>
          <w:tcPr>
            <w:tcW w:w="2126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Partners</w:t>
            </w:r>
          </w:p>
        </w:tc>
        <w:tc>
          <w:tcPr>
            <w:tcW w:w="1418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2020</w:t>
            </w:r>
          </w:p>
        </w:tc>
        <w:tc>
          <w:tcPr>
            <w:tcW w:w="1559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F2F44" w:rsidTr="00BA0FA6">
        <w:tc>
          <w:tcPr>
            <w:tcW w:w="817" w:type="dxa"/>
          </w:tcPr>
          <w:p w:rsidR="000F2F44" w:rsidRDefault="00DB6051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3232" w:type="dxa"/>
            <w:vMerge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Explore potential for Survivors of Bereavement by Suicide (SOBS) Peer Support group to be set up in NWL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 Health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2021</w:t>
            </w:r>
            <w:r w:rsidR="00BA0FA6">
              <w:rPr>
                <w:rFonts w:asciiTheme="minorHAnsi" w:hAnsiTheme="minorHAnsi" w:cs="Arial"/>
              </w:rPr>
              <w:t xml:space="preserve"> -2024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F2F44" w:rsidRDefault="000F2F44" w:rsidP="00F97C1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EA16E9" w:rsidRPr="00D4092C" w:rsidRDefault="00EA16E9" w:rsidP="00EA16E9">
      <w:pPr>
        <w:pStyle w:val="Heading1"/>
        <w:rPr>
          <w:sz w:val="26"/>
          <w:szCs w:val="26"/>
        </w:rPr>
      </w:pPr>
      <w:bookmarkStart w:id="76" w:name="_Toc26097791"/>
      <w:bookmarkStart w:id="77" w:name="_Toc26099811"/>
      <w:r w:rsidRPr="00D4092C">
        <w:rPr>
          <w:sz w:val="26"/>
          <w:szCs w:val="26"/>
        </w:rPr>
        <w:lastRenderedPageBreak/>
        <w:t>Action 5:  Support the media in delivering sensitive approaches to suicide and suicidal behaviour</w:t>
      </w:r>
      <w:bookmarkEnd w:id="76"/>
      <w:bookmarkEnd w:id="77"/>
    </w:p>
    <w:p w:rsidR="00651066" w:rsidRDefault="00651066" w:rsidP="006510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action plan will support the two approaches to ensuring the media is sensitive to suicide and suicide behaviour.  These are</w:t>
      </w:r>
      <w:proofErr w:type="gramStart"/>
      <w:r>
        <w:rPr>
          <w:rFonts w:asciiTheme="minorHAnsi" w:hAnsiTheme="minorHAnsi" w:cs="Arial"/>
        </w:rPr>
        <w:t xml:space="preserve">,  </w:t>
      </w:r>
      <w:r w:rsidRPr="00651066">
        <w:rPr>
          <w:rFonts w:asciiTheme="minorHAnsi" w:hAnsiTheme="minorHAnsi" w:cs="Arial"/>
        </w:rPr>
        <w:t>promoting</w:t>
      </w:r>
      <w:proofErr w:type="gramEnd"/>
      <w:r w:rsidRPr="00651066">
        <w:rPr>
          <w:rFonts w:asciiTheme="minorHAnsi" w:hAnsiTheme="minorHAnsi" w:cs="Arial"/>
        </w:rPr>
        <w:t xml:space="preserve"> the responsible reporting and portrayal of suicide and suicid</w:t>
      </w:r>
      <w:r>
        <w:rPr>
          <w:rFonts w:asciiTheme="minorHAnsi" w:hAnsiTheme="minorHAnsi" w:cs="Arial"/>
        </w:rPr>
        <w:t>al behaviour in the media; and</w:t>
      </w:r>
      <w:r w:rsidRPr="00651066">
        <w:rPr>
          <w:rFonts w:asciiTheme="minorHAnsi" w:hAnsiTheme="minorHAnsi" w:cs="Arial"/>
        </w:rPr>
        <w:t xml:space="preserve"> continuing to support the internet industry to remove content that encourages suicide and provide ready access to suicide prevention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126"/>
        <w:gridCol w:w="1560"/>
        <w:gridCol w:w="1559"/>
        <w:gridCol w:w="1875"/>
      </w:tblGrid>
      <w:tr w:rsidR="00464E0F" w:rsidRPr="00E51BF4" w:rsidTr="00BA0FA6">
        <w:tc>
          <w:tcPr>
            <w:tcW w:w="817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Objective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Action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Lead Agency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Due By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Joint Action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Progress 2019-20</w:t>
            </w:r>
          </w:p>
          <w:p w:rsidR="00464E0F" w:rsidRPr="00E51BF4" w:rsidRDefault="00464E0F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(RAG)</w:t>
            </w:r>
          </w:p>
        </w:tc>
      </w:tr>
      <w:tr w:rsidR="00BA0FA6" w:rsidTr="00464E0F">
        <w:tc>
          <w:tcPr>
            <w:tcW w:w="817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5.1</w:t>
            </w:r>
          </w:p>
        </w:tc>
        <w:tc>
          <w:tcPr>
            <w:tcW w:w="2977" w:type="dxa"/>
            <w:vMerge w:val="restart"/>
          </w:tcPr>
          <w:p w:rsidR="00BA0FA6" w:rsidRDefault="00BA0FA6" w:rsidP="000F2F44">
            <w:pPr>
              <w:spacing w:after="0" w:line="240" w:lineRule="auto"/>
              <w:rPr>
                <w:b/>
                <w:sz w:val="24"/>
              </w:rPr>
            </w:pPr>
          </w:p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F2F44">
              <w:rPr>
                <w:b/>
                <w:sz w:val="24"/>
              </w:rPr>
              <w:t>Reduce the risk of suicides and improve mental health in all groups in Brent and Harrow</w:t>
            </w:r>
          </w:p>
        </w:tc>
        <w:tc>
          <w:tcPr>
            <w:tcW w:w="3260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local media is aware of the Samaritans guidance on suicide reporting</w:t>
            </w:r>
          </w:p>
        </w:tc>
        <w:tc>
          <w:tcPr>
            <w:tcW w:w="2126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Partners</w:t>
            </w:r>
          </w:p>
        </w:tc>
        <w:tc>
          <w:tcPr>
            <w:tcW w:w="1560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559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A0FA6" w:rsidTr="00464E0F">
        <w:tc>
          <w:tcPr>
            <w:tcW w:w="817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5.2</w:t>
            </w:r>
          </w:p>
        </w:tc>
        <w:tc>
          <w:tcPr>
            <w:tcW w:w="2977" w:type="dxa"/>
            <w:vMerge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Support and promote national promotion days relating to mental health and suicide prevention. E.g. WMHD</w:t>
            </w:r>
          </w:p>
        </w:tc>
        <w:tc>
          <w:tcPr>
            <w:tcW w:w="2126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Partners</w:t>
            </w:r>
          </w:p>
        </w:tc>
        <w:tc>
          <w:tcPr>
            <w:tcW w:w="1560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Goings</w:t>
            </w:r>
          </w:p>
        </w:tc>
        <w:tc>
          <w:tcPr>
            <w:tcW w:w="1559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1875" w:type="dxa"/>
          </w:tcPr>
          <w:p w:rsidR="00BA0FA6" w:rsidRDefault="00BA0FA6" w:rsidP="000F2F4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651066" w:rsidRDefault="00651066" w:rsidP="000F2F44">
      <w:pPr>
        <w:spacing w:after="0" w:line="240" w:lineRule="auto"/>
        <w:rPr>
          <w:rFonts w:asciiTheme="minorHAnsi" w:hAnsiTheme="minorHAnsi" w:cs="Arial"/>
        </w:rPr>
      </w:pPr>
    </w:p>
    <w:p w:rsidR="000F2F44" w:rsidRDefault="000F2F44" w:rsidP="000F2F44">
      <w:pPr>
        <w:spacing w:after="0" w:line="240" w:lineRule="auto"/>
        <w:rPr>
          <w:rFonts w:asciiTheme="minorHAnsi" w:hAnsiTheme="minorHAnsi" w:cs="Arial"/>
        </w:rPr>
      </w:pPr>
    </w:p>
    <w:p w:rsidR="000F2F44" w:rsidRDefault="000F2F44" w:rsidP="000F2F44">
      <w:pPr>
        <w:spacing w:after="0" w:line="240" w:lineRule="auto"/>
        <w:rPr>
          <w:rFonts w:asciiTheme="minorHAnsi" w:hAnsiTheme="minorHAnsi" w:cs="Arial"/>
        </w:rPr>
      </w:pPr>
    </w:p>
    <w:p w:rsidR="000F2F44" w:rsidRDefault="000F2F44" w:rsidP="000F2F44">
      <w:pPr>
        <w:spacing w:after="0" w:line="240" w:lineRule="auto"/>
        <w:rPr>
          <w:rFonts w:asciiTheme="minorHAnsi" w:hAnsiTheme="minorHAnsi" w:cs="Arial"/>
        </w:rPr>
      </w:pPr>
    </w:p>
    <w:p w:rsidR="008635DA" w:rsidRDefault="008635DA" w:rsidP="000F2F44">
      <w:pPr>
        <w:spacing w:after="0" w:line="240" w:lineRule="auto"/>
        <w:rPr>
          <w:rFonts w:asciiTheme="minorHAnsi" w:hAnsiTheme="minorHAnsi" w:cs="Arial"/>
        </w:rPr>
      </w:pPr>
    </w:p>
    <w:p w:rsidR="00C40F2E" w:rsidRDefault="00C40F2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51066" w:rsidRPr="00D4092C" w:rsidRDefault="00651066" w:rsidP="00651066">
      <w:pPr>
        <w:pStyle w:val="Heading1"/>
        <w:rPr>
          <w:sz w:val="26"/>
          <w:szCs w:val="26"/>
        </w:rPr>
      </w:pPr>
      <w:bookmarkStart w:id="78" w:name="_Toc26097792"/>
      <w:bookmarkStart w:id="79" w:name="_Toc26099812"/>
      <w:r w:rsidRPr="00D4092C">
        <w:rPr>
          <w:sz w:val="26"/>
          <w:szCs w:val="26"/>
        </w:rPr>
        <w:lastRenderedPageBreak/>
        <w:t>Action 6: Support research. Data collection and monitoring</w:t>
      </w:r>
      <w:bookmarkEnd w:id="78"/>
      <w:bookmarkEnd w:id="79"/>
    </w:p>
    <w:p w:rsidR="00651066" w:rsidRPr="00E61718" w:rsidRDefault="00651066" w:rsidP="00E61718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61718">
        <w:rPr>
          <w:rFonts w:asciiTheme="minorHAnsi" w:hAnsiTheme="minorHAnsi" w:cs="Arial"/>
        </w:rPr>
        <w:t>In order to inform the Action Plan, the group w</w:t>
      </w:r>
      <w:r w:rsidR="00E61718" w:rsidRPr="00E61718">
        <w:rPr>
          <w:rFonts w:asciiTheme="minorHAnsi" w:hAnsiTheme="minorHAnsi" w:cs="Arial"/>
        </w:rPr>
        <w:t>ill:</w:t>
      </w:r>
    </w:p>
    <w:p w:rsidR="00651066" w:rsidRPr="00E61718" w:rsidRDefault="00651066" w:rsidP="00E61718">
      <w:pPr>
        <w:pStyle w:val="ListParagraph"/>
        <w:numPr>
          <w:ilvl w:val="1"/>
          <w:numId w:val="9"/>
        </w:numPr>
        <w:rPr>
          <w:rFonts w:asciiTheme="minorHAnsi" w:hAnsiTheme="minorHAnsi" w:cs="Arial"/>
        </w:rPr>
      </w:pPr>
      <w:r w:rsidRPr="00E61718">
        <w:rPr>
          <w:rFonts w:asciiTheme="minorHAnsi" w:hAnsiTheme="minorHAnsi" w:cs="Arial"/>
        </w:rPr>
        <w:t>build on the existing research evidence and other relevant sources of data on suicide and suicide prevention;</w:t>
      </w:r>
    </w:p>
    <w:p w:rsidR="00651066" w:rsidRPr="00E61718" w:rsidRDefault="00651066" w:rsidP="00E61718">
      <w:pPr>
        <w:pStyle w:val="ListParagraph"/>
        <w:numPr>
          <w:ilvl w:val="1"/>
          <w:numId w:val="9"/>
        </w:numPr>
        <w:rPr>
          <w:rFonts w:asciiTheme="minorHAnsi" w:hAnsiTheme="minorHAnsi" w:cs="Arial"/>
        </w:rPr>
      </w:pPr>
      <w:r w:rsidRPr="00E61718">
        <w:rPr>
          <w:rFonts w:asciiTheme="minorHAnsi" w:hAnsiTheme="minorHAnsi" w:cs="Arial"/>
        </w:rPr>
        <w:t>expand and improve the systematic collection of and access to data on suicides; and</w:t>
      </w:r>
    </w:p>
    <w:p w:rsidR="0063628D" w:rsidRPr="00E61718" w:rsidRDefault="00651066" w:rsidP="00E61718">
      <w:pPr>
        <w:pStyle w:val="ListParagraph"/>
        <w:numPr>
          <w:ilvl w:val="1"/>
          <w:numId w:val="9"/>
        </w:numPr>
        <w:rPr>
          <w:rFonts w:asciiTheme="minorHAnsi" w:hAnsiTheme="minorHAnsi" w:cs="Arial"/>
        </w:rPr>
      </w:pPr>
      <w:proofErr w:type="gramStart"/>
      <w:r w:rsidRPr="00E61718">
        <w:rPr>
          <w:rFonts w:asciiTheme="minorHAnsi" w:hAnsiTheme="minorHAnsi" w:cs="Arial"/>
        </w:rPr>
        <w:t>monitor</w:t>
      </w:r>
      <w:proofErr w:type="gramEnd"/>
      <w:r w:rsidRPr="00E61718">
        <w:rPr>
          <w:rFonts w:asciiTheme="minorHAnsi" w:hAnsiTheme="minorHAnsi" w:cs="Arial"/>
        </w:rPr>
        <w:t xml:space="preserve"> progress against the objectives of the national suicide prevention strategy.</w:t>
      </w:r>
    </w:p>
    <w:p w:rsidR="009961A6" w:rsidRDefault="009961A6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5"/>
        <w:gridCol w:w="1985"/>
        <w:gridCol w:w="1701"/>
        <w:gridCol w:w="1551"/>
        <w:gridCol w:w="2025"/>
      </w:tblGrid>
      <w:tr w:rsidR="007671E5" w:rsidRPr="00E51BF4" w:rsidTr="00BA0FA6">
        <w:tc>
          <w:tcPr>
            <w:tcW w:w="817" w:type="dxa"/>
            <w:shd w:val="clear" w:color="auto" w:fill="B2A1C7" w:themeFill="accent4" w:themeFillTint="99"/>
          </w:tcPr>
          <w:p w:rsidR="007671E5" w:rsidRPr="00E75028" w:rsidRDefault="007671E5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Objective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Action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Lead Agency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Due By</w:t>
            </w:r>
          </w:p>
        </w:tc>
        <w:tc>
          <w:tcPr>
            <w:tcW w:w="1551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Joint Action</w:t>
            </w:r>
          </w:p>
        </w:tc>
        <w:tc>
          <w:tcPr>
            <w:tcW w:w="2025" w:type="dxa"/>
            <w:shd w:val="clear" w:color="auto" w:fill="B2A1C7" w:themeFill="accent4" w:themeFillTint="99"/>
          </w:tcPr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Progress 2019-20</w:t>
            </w:r>
          </w:p>
          <w:p w:rsidR="007671E5" w:rsidRPr="00E51BF4" w:rsidRDefault="007671E5" w:rsidP="00DD49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51BF4">
              <w:rPr>
                <w:rFonts w:asciiTheme="minorHAnsi" w:hAnsiTheme="minorHAnsi" w:cs="Arial"/>
                <w:b/>
                <w:szCs w:val="20"/>
              </w:rPr>
              <w:t>(RAG)</w:t>
            </w:r>
          </w:p>
        </w:tc>
      </w:tr>
      <w:tr w:rsidR="00E75028" w:rsidRPr="00E51BF4" w:rsidTr="007671E5">
        <w:tc>
          <w:tcPr>
            <w:tcW w:w="817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75028">
              <w:rPr>
                <w:rFonts w:asciiTheme="minorHAnsi" w:hAnsiTheme="minorHAnsi" w:cs="Arial"/>
                <w:szCs w:val="20"/>
              </w:rPr>
              <w:t>6.1</w:t>
            </w:r>
          </w:p>
        </w:tc>
        <w:tc>
          <w:tcPr>
            <w:tcW w:w="2410" w:type="dxa"/>
          </w:tcPr>
          <w:p w:rsidR="00E75028" w:rsidRPr="00E51BF4" w:rsidRDefault="00E75028" w:rsidP="00E75028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40E03">
              <w:rPr>
                <w:rFonts w:asciiTheme="minorHAnsi" w:hAnsiTheme="minorHAnsi" w:cs="Arial"/>
                <w:b/>
              </w:rPr>
              <w:t>Reduce the risk of self-harm and suicide in children and young people</w:t>
            </w:r>
          </w:p>
        </w:tc>
        <w:tc>
          <w:tcPr>
            <w:tcW w:w="3685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75028">
              <w:rPr>
                <w:rFonts w:asciiTheme="minorHAnsi" w:hAnsiTheme="minorHAnsi" w:cs="Arial"/>
                <w:szCs w:val="20"/>
              </w:rPr>
              <w:t>Review and contribute to the emerging actions of the STP CDOP group</w:t>
            </w:r>
          </w:p>
        </w:tc>
        <w:tc>
          <w:tcPr>
            <w:tcW w:w="1985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75028">
              <w:rPr>
                <w:rFonts w:asciiTheme="minorHAnsi" w:hAnsiTheme="minorHAnsi" w:cs="Arial"/>
                <w:szCs w:val="20"/>
              </w:rPr>
              <w:t>Harrow and Brent Safeguarding Board, Public Health</w:t>
            </w:r>
          </w:p>
        </w:tc>
        <w:tc>
          <w:tcPr>
            <w:tcW w:w="1701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75028">
              <w:rPr>
                <w:rFonts w:asciiTheme="minorHAnsi" w:hAnsiTheme="minorHAnsi" w:cs="Arial"/>
                <w:szCs w:val="20"/>
              </w:rPr>
              <w:t>Ongoing</w:t>
            </w:r>
          </w:p>
        </w:tc>
        <w:tc>
          <w:tcPr>
            <w:tcW w:w="1551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75028">
              <w:rPr>
                <w:rFonts w:asciiTheme="minorHAnsi" w:hAnsiTheme="minorHAnsi" w:cs="Arial"/>
                <w:szCs w:val="20"/>
              </w:rPr>
              <w:t>Joint</w:t>
            </w:r>
          </w:p>
        </w:tc>
        <w:tc>
          <w:tcPr>
            <w:tcW w:w="2025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E75028" w:rsidTr="007671E5">
        <w:tc>
          <w:tcPr>
            <w:tcW w:w="817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75028">
              <w:rPr>
                <w:rFonts w:asciiTheme="minorHAnsi" w:hAnsiTheme="minorHAnsi" w:cs="Arial"/>
              </w:rPr>
              <w:t>6.2</w:t>
            </w:r>
          </w:p>
        </w:tc>
        <w:tc>
          <w:tcPr>
            <w:tcW w:w="2410" w:type="dxa"/>
            <w:vMerge w:val="restart"/>
          </w:tcPr>
          <w:p w:rsidR="00E75028" w:rsidRPr="007671E5" w:rsidRDefault="00E7502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671E5">
              <w:rPr>
                <w:rFonts w:asciiTheme="minorHAnsi" w:hAnsiTheme="minorHAnsi" w:cs="Arial"/>
                <w:b/>
              </w:rPr>
              <w:t>Reduce the risk of suicides and improve mental health in all groups in Brent and Harrow</w:t>
            </w:r>
          </w:p>
        </w:tc>
        <w:tc>
          <w:tcPr>
            <w:tcW w:w="368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 a detailed understanding of local suicide patterns.</w:t>
            </w:r>
          </w:p>
        </w:tc>
        <w:tc>
          <w:tcPr>
            <w:tcW w:w="198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 Health</w:t>
            </w:r>
          </w:p>
        </w:tc>
        <w:tc>
          <w:tcPr>
            <w:tcW w:w="1701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551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202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75028" w:rsidTr="007671E5">
        <w:tc>
          <w:tcPr>
            <w:tcW w:w="817" w:type="dxa"/>
          </w:tcPr>
          <w:p w:rsidR="00E75028" w:rsidRPr="00E75028" w:rsidRDefault="00E75028" w:rsidP="00E750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75028">
              <w:rPr>
                <w:rFonts w:asciiTheme="minorHAnsi" w:hAnsiTheme="minorHAnsi" w:cs="Arial"/>
              </w:rPr>
              <w:t>6.3</w:t>
            </w:r>
          </w:p>
        </w:tc>
        <w:tc>
          <w:tcPr>
            <w:tcW w:w="2410" w:type="dxa"/>
            <w:vMerge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Contribute, receive and review information from the confidential data sharing Pan London Hub</w:t>
            </w:r>
          </w:p>
        </w:tc>
        <w:tc>
          <w:tcPr>
            <w:tcW w:w="198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NHS, London Ambulance Service, British Transport Police, Metropolitan Police, Thrive LDN, Brent and Harrow Public Health</w:t>
            </w:r>
          </w:p>
        </w:tc>
        <w:tc>
          <w:tcPr>
            <w:tcW w:w="1701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1551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Joint</w:t>
            </w:r>
          </w:p>
        </w:tc>
        <w:tc>
          <w:tcPr>
            <w:tcW w:w="2025" w:type="dxa"/>
          </w:tcPr>
          <w:p w:rsidR="00E75028" w:rsidRDefault="00E7502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7671E5" w:rsidRDefault="007671E5">
      <w:pPr>
        <w:spacing w:after="0" w:line="240" w:lineRule="auto"/>
        <w:rPr>
          <w:rFonts w:asciiTheme="minorHAnsi" w:hAnsiTheme="minorHAnsi" w:cs="Arial"/>
        </w:rPr>
      </w:pPr>
    </w:p>
    <w:p w:rsidR="007671E5" w:rsidRDefault="007671E5">
      <w:pPr>
        <w:spacing w:after="0" w:line="240" w:lineRule="auto"/>
        <w:rPr>
          <w:rFonts w:asciiTheme="minorHAnsi" w:hAnsiTheme="minorHAnsi" w:cs="Arial"/>
        </w:rPr>
      </w:pPr>
    </w:p>
    <w:p w:rsidR="007671E5" w:rsidRDefault="007671E5">
      <w:pPr>
        <w:spacing w:after="0" w:line="240" w:lineRule="auto"/>
        <w:rPr>
          <w:rFonts w:asciiTheme="minorHAnsi" w:hAnsiTheme="minorHAnsi" w:cs="Arial"/>
        </w:rPr>
      </w:pPr>
    </w:p>
    <w:p w:rsidR="007671E5" w:rsidRDefault="007671E5">
      <w:pPr>
        <w:spacing w:after="0" w:line="240" w:lineRule="auto"/>
        <w:rPr>
          <w:rFonts w:asciiTheme="minorHAnsi" w:hAnsiTheme="minorHAnsi" w:cs="Arial"/>
        </w:rPr>
      </w:pPr>
    </w:p>
    <w:p w:rsidR="00E02C9A" w:rsidRDefault="00E02C9A">
      <w:pPr>
        <w:spacing w:after="0" w:line="240" w:lineRule="auto"/>
        <w:rPr>
          <w:rFonts w:asciiTheme="minorHAnsi" w:hAnsiTheme="minorHAnsi" w:cs="Arial"/>
        </w:rPr>
      </w:pPr>
    </w:p>
    <w:p w:rsidR="00E02C9A" w:rsidRDefault="00E02C9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9961A6" w:rsidRPr="00D4092C" w:rsidRDefault="009961A6" w:rsidP="00D4092C">
      <w:pPr>
        <w:pStyle w:val="Heading2"/>
        <w:rPr>
          <w:rFonts w:asciiTheme="minorHAnsi" w:hAnsiTheme="minorHAnsi"/>
          <w:color w:val="auto"/>
        </w:rPr>
      </w:pPr>
      <w:bookmarkStart w:id="80" w:name="_Toc26097793"/>
      <w:bookmarkStart w:id="81" w:name="_Toc26099813"/>
      <w:r w:rsidRPr="00D4092C">
        <w:rPr>
          <w:rFonts w:asciiTheme="minorHAnsi" w:hAnsiTheme="minorHAnsi"/>
          <w:color w:val="auto"/>
        </w:rPr>
        <w:lastRenderedPageBreak/>
        <w:t>Partners</w:t>
      </w:r>
      <w:bookmarkEnd w:id="80"/>
      <w:bookmarkEnd w:id="81"/>
    </w:p>
    <w:p w:rsidR="009961A6" w:rsidRDefault="009961A6" w:rsidP="009961A6">
      <w:r>
        <w:t>List of partners signed up to the Brent &amp; Harrow Suicide Prevention Action Plan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961A6" w:rsidRPr="00200A4C" w:rsidTr="006A4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shd w:val="clear" w:color="auto" w:fill="CCC0D9" w:themeFill="accent4" w:themeFillTint="66"/>
          </w:tcPr>
          <w:p w:rsidR="009961A6" w:rsidRPr="00E02C9A" w:rsidRDefault="009961A6" w:rsidP="009961A6">
            <w:pPr>
              <w:jc w:val="center"/>
              <w:rPr>
                <w:rFonts w:asciiTheme="minorHAnsi" w:hAnsiTheme="minorHAnsi" w:cs="Arial"/>
              </w:rPr>
            </w:pPr>
            <w:r w:rsidRPr="00E02C9A">
              <w:rPr>
                <w:rFonts w:asciiTheme="minorHAnsi" w:hAnsiTheme="minorHAnsi" w:cs="Arial"/>
              </w:rPr>
              <w:t>Brent Contributors</w:t>
            </w:r>
          </w:p>
        </w:tc>
        <w:tc>
          <w:tcPr>
            <w:tcW w:w="7087" w:type="dxa"/>
            <w:shd w:val="clear" w:color="auto" w:fill="CCC0D9" w:themeFill="accent4" w:themeFillTint="66"/>
          </w:tcPr>
          <w:p w:rsidR="009961A6" w:rsidRPr="00200A4C" w:rsidRDefault="009961A6" w:rsidP="00996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200A4C">
              <w:rPr>
                <w:rFonts w:ascii="Calibri" w:hAnsi="Calibri" w:cs="Arial"/>
              </w:rPr>
              <w:t>Harrow Contributors</w:t>
            </w:r>
          </w:p>
        </w:tc>
      </w:tr>
      <w:tr w:rsidR="009961A6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961A6" w:rsidRPr="00E02C9A" w:rsidRDefault="00F17434" w:rsidP="009961A6">
            <w:pPr>
              <w:rPr>
                <w:rFonts w:asciiTheme="minorHAnsi" w:hAnsiTheme="minorHAnsi"/>
                <w:b w:val="0"/>
              </w:rPr>
            </w:pPr>
            <w:r w:rsidRPr="00E02C9A">
              <w:rPr>
                <w:rFonts w:asciiTheme="minorHAnsi" w:hAnsiTheme="minorHAnsi"/>
                <w:b w:val="0"/>
              </w:rPr>
              <w:t>Public Health</w:t>
            </w:r>
          </w:p>
        </w:tc>
        <w:tc>
          <w:tcPr>
            <w:tcW w:w="7087" w:type="dxa"/>
          </w:tcPr>
          <w:p w:rsidR="009961A6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Harrow Council Commissioning – Children and Young People</w:t>
            </w:r>
          </w:p>
        </w:tc>
      </w:tr>
      <w:tr w:rsidR="00E02C9A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2C9A" w:rsidRPr="00E02C9A" w:rsidRDefault="00E02C9A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E02C9A" w:rsidRDefault="00E02C9A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Harrow Educational Psychology service</w:t>
            </w:r>
          </w:p>
        </w:tc>
      </w:tr>
      <w:tr w:rsidR="009961A6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961A6" w:rsidRPr="00E02C9A" w:rsidRDefault="009961A6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9961A6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Marlborough Primary School</w:t>
            </w:r>
          </w:p>
        </w:tc>
      </w:tr>
      <w:tr w:rsidR="009961A6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961A6" w:rsidRPr="00E02C9A" w:rsidRDefault="009961A6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9961A6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 Commissioner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Harrow Bereavement Care</w:t>
            </w:r>
          </w:p>
        </w:tc>
      </w:tr>
      <w:tr w:rsidR="00F17434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WDP – Harrow Adult Substance </w:t>
            </w:r>
            <w:proofErr w:type="spellStart"/>
            <w:r>
              <w:t>Mis</w:t>
            </w:r>
            <w:proofErr w:type="spellEnd"/>
            <w:r>
              <w:t>-Use Service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E02C9A" w:rsidP="009961A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CNWL</w:t>
            </w: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CNWL</w:t>
            </w:r>
          </w:p>
        </w:tc>
      </w:tr>
      <w:tr w:rsidR="00F17434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Harrow CCG (Children and Young People Commissioning)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A40CCB" w:rsidP="009961A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Brent CCG</w:t>
            </w: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Harrow CCG</w:t>
            </w:r>
          </w:p>
        </w:tc>
      </w:tr>
      <w:tr w:rsidR="00F17434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  <w:r w:rsidRPr="00E02C9A">
              <w:rPr>
                <w:rFonts w:asciiTheme="minorHAnsi" w:hAnsiTheme="minorHAnsi"/>
                <w:b w:val="0"/>
              </w:rPr>
              <w:t>Papyrus</w:t>
            </w:r>
          </w:p>
        </w:tc>
        <w:tc>
          <w:tcPr>
            <w:tcW w:w="7087" w:type="dxa"/>
          </w:tcPr>
          <w:p w:rsidR="00F17434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Papyrus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  <w:r w:rsidRPr="00E02C9A">
              <w:rPr>
                <w:rFonts w:asciiTheme="minorHAnsi" w:hAnsiTheme="minorHAnsi"/>
                <w:b w:val="0"/>
              </w:rPr>
              <w:t>Brent Samaritans</w:t>
            </w: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Harrow Samaritans</w:t>
            </w:r>
          </w:p>
        </w:tc>
      </w:tr>
      <w:tr w:rsidR="00F17434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Voluntary Action Harrow</w:t>
            </w:r>
          </w:p>
        </w:tc>
      </w:tr>
      <w:tr w:rsidR="00F17434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Harrow Council Housing</w:t>
            </w:r>
          </w:p>
        </w:tc>
      </w:tr>
      <w:tr w:rsidR="00F17434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F17434" w:rsidRPr="00E02C9A" w:rsidRDefault="00F17434" w:rsidP="009961A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087" w:type="dxa"/>
          </w:tcPr>
          <w:p w:rsidR="00F17434" w:rsidRDefault="00F17434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Harrow Young Foundation</w:t>
            </w:r>
          </w:p>
        </w:tc>
      </w:tr>
      <w:tr w:rsidR="00E02C9A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2C9A" w:rsidRPr="00E02C9A" w:rsidRDefault="00E02C9A" w:rsidP="009961A6">
            <w:pPr>
              <w:rPr>
                <w:rFonts w:asciiTheme="minorHAnsi" w:hAnsiTheme="minorHAnsi"/>
                <w:b w:val="0"/>
              </w:rPr>
            </w:pPr>
            <w:r w:rsidRPr="00E02C9A">
              <w:rPr>
                <w:rFonts w:asciiTheme="minorHAnsi" w:hAnsiTheme="minorHAnsi"/>
                <w:b w:val="0"/>
              </w:rPr>
              <w:t>CAMHS Urgent Care Team (Harrow &amp; Brent Hub)</w:t>
            </w:r>
          </w:p>
        </w:tc>
        <w:tc>
          <w:tcPr>
            <w:tcW w:w="7087" w:type="dxa"/>
          </w:tcPr>
          <w:p w:rsidR="00E02C9A" w:rsidRDefault="00E02C9A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2C9A">
              <w:t>CAMHS Urgent Care Team (Harrow &amp; Brent Hub)</w:t>
            </w:r>
          </w:p>
        </w:tc>
      </w:tr>
      <w:tr w:rsidR="00E02C9A" w:rsidTr="006A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2C9A" w:rsidRPr="00E02C9A" w:rsidRDefault="00E02C9A" w:rsidP="009961A6">
            <w:pPr>
              <w:rPr>
                <w:rFonts w:asciiTheme="minorHAnsi" w:hAnsiTheme="minorHAnsi"/>
                <w:b w:val="0"/>
              </w:rPr>
            </w:pPr>
            <w:r w:rsidRPr="00E02C9A">
              <w:rPr>
                <w:rFonts w:asciiTheme="minorHAnsi" w:hAnsiTheme="minorHAnsi"/>
                <w:b w:val="0"/>
              </w:rPr>
              <w:t>Network Rail</w:t>
            </w:r>
          </w:p>
        </w:tc>
        <w:tc>
          <w:tcPr>
            <w:tcW w:w="7087" w:type="dxa"/>
          </w:tcPr>
          <w:p w:rsidR="00E02C9A" w:rsidRPr="00E02C9A" w:rsidRDefault="00E02C9A" w:rsidP="00996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Network Rail</w:t>
            </w:r>
          </w:p>
        </w:tc>
      </w:tr>
      <w:tr w:rsidR="00E02C9A" w:rsidTr="006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2C9A" w:rsidRPr="00E02C9A" w:rsidRDefault="00E02C9A" w:rsidP="009961A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Metropolitan Police</w:t>
            </w:r>
          </w:p>
        </w:tc>
        <w:tc>
          <w:tcPr>
            <w:tcW w:w="7087" w:type="dxa"/>
          </w:tcPr>
          <w:p w:rsidR="00E02C9A" w:rsidRDefault="00E02C9A" w:rsidP="00996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Metropolitan Police</w:t>
            </w:r>
          </w:p>
        </w:tc>
      </w:tr>
    </w:tbl>
    <w:p w:rsidR="009961A6" w:rsidRPr="009961A6" w:rsidRDefault="009961A6" w:rsidP="009961A6"/>
    <w:sectPr w:rsidR="009961A6" w:rsidRPr="009961A6" w:rsidSect="000673C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DC" w:rsidRDefault="00DD49DC" w:rsidP="002B41CE">
      <w:pPr>
        <w:spacing w:after="0" w:line="240" w:lineRule="auto"/>
      </w:pPr>
      <w:r>
        <w:separator/>
      </w:r>
    </w:p>
  </w:endnote>
  <w:endnote w:type="continuationSeparator" w:id="0">
    <w:p w:rsidR="00DD49DC" w:rsidRDefault="00DD49DC" w:rsidP="002B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18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49DC" w:rsidRDefault="00DD49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54">
          <w:rPr>
            <w:noProof/>
          </w:rPr>
          <w:t>22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D49DC" w:rsidRDefault="00DD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DC" w:rsidRDefault="00DD49DC" w:rsidP="002B41CE">
      <w:pPr>
        <w:spacing w:after="0" w:line="240" w:lineRule="auto"/>
      </w:pPr>
      <w:r>
        <w:separator/>
      </w:r>
    </w:p>
  </w:footnote>
  <w:footnote w:type="continuationSeparator" w:id="0">
    <w:p w:rsidR="00DD49DC" w:rsidRDefault="00DD49DC" w:rsidP="002B41CE">
      <w:pPr>
        <w:spacing w:after="0" w:line="240" w:lineRule="auto"/>
      </w:pPr>
      <w:r>
        <w:continuationSeparator/>
      </w:r>
    </w:p>
  </w:footnote>
  <w:footnote w:id="1">
    <w:p w:rsidR="00367B4C" w:rsidRDefault="00367B4C" w:rsidP="00367B4C">
      <w:pPr>
        <w:pStyle w:val="FootnoteText"/>
      </w:pPr>
      <w:r>
        <w:rPr>
          <w:rStyle w:val="FootnoteReference"/>
        </w:rPr>
        <w:footnoteRef/>
      </w:r>
      <w:r>
        <w:t xml:space="preserve"> ONS Suicides in the UK: 2018 Registrations. Available </w:t>
      </w:r>
    </w:p>
    <w:p w:rsidR="00367B4C" w:rsidRDefault="00925054" w:rsidP="00367B4C">
      <w:pPr>
        <w:pStyle w:val="FootnoteText"/>
      </w:pPr>
      <w:hyperlink r:id="rId1" w:history="1">
        <w:r w:rsidR="00367B4C" w:rsidRPr="00952616">
          <w:rPr>
            <w:rStyle w:val="Hyperlink"/>
          </w:rPr>
          <w:t>https://www.ons.gov.uk/peoplepopulationandcommunity/birthsdeathsandmarriages/deaths/bulletins/suicidesintheunitedkingdom/2018registrations</w:t>
        </w:r>
      </w:hyperlink>
      <w:r w:rsidR="00367B4C">
        <w:t xml:space="preserve"> </w:t>
      </w:r>
      <w:r w:rsidR="005B585B">
        <w:t xml:space="preserve"> </w:t>
      </w:r>
    </w:p>
  </w:footnote>
  <w:footnote w:id="2">
    <w:p w:rsidR="00DD49DC" w:rsidRDefault="00DD49DC" w:rsidP="00430A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HMG and DH Preventing suicide in England.</w:t>
      </w:r>
      <w:proofErr w:type="gramEnd"/>
      <w:r>
        <w:t xml:space="preserve"> </w:t>
      </w:r>
      <w:r w:rsidRPr="00D46D77">
        <w:t>A cross-government outcomes strategy to save lives</w:t>
      </w:r>
      <w:r>
        <w:t xml:space="preserve"> (2012) Available here: </w:t>
      </w:r>
      <w:hyperlink r:id="rId2" w:history="1">
        <w:r w:rsidRPr="002C5A7B">
          <w:rPr>
            <w:rStyle w:val="Hyperlink"/>
          </w:rPr>
          <w:t>https://assets.publishing.service.gov.uk/government/uploads/system/uploads/attachment_data/file/430720/Preventing-Suicide-.pdf</w:t>
        </w:r>
      </w:hyperlink>
      <w:r>
        <w:t xml:space="preserve"> </w:t>
      </w:r>
    </w:p>
  </w:footnote>
  <w:footnote w:id="3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NHS The Five Year Forward View for Mental Health.</w:t>
      </w:r>
      <w:proofErr w:type="gramEnd"/>
      <w:r>
        <w:t xml:space="preserve"> </w:t>
      </w:r>
      <w:proofErr w:type="gramStart"/>
      <w:r w:rsidRPr="00D46D77">
        <w:t>A report from the independent Mental Health Taskforce to the NHS in England</w:t>
      </w:r>
      <w:r>
        <w:t xml:space="preserve"> (2016).</w:t>
      </w:r>
      <w:proofErr w:type="gramEnd"/>
      <w:r>
        <w:t xml:space="preserve">  Available here: </w:t>
      </w:r>
      <w:hyperlink r:id="rId3" w:history="1">
        <w:r w:rsidRPr="002C5A7B">
          <w:rPr>
            <w:rStyle w:val="Hyperlink"/>
          </w:rPr>
          <w:t>https://www.england.nhs.uk/wp-content/uploads/2016/02/Mental-Health-Taskforce-FYFV-final.pdf</w:t>
        </w:r>
      </w:hyperlink>
      <w:r>
        <w:t xml:space="preserve"> </w:t>
      </w:r>
    </w:p>
  </w:footnote>
  <w:footnote w:id="4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Public Health England Fingertips Tool.</w:t>
      </w:r>
      <w:proofErr w:type="gramEnd"/>
      <w:r>
        <w:t xml:space="preserve"> Suicide Prevention Profiles.  Found here: </w:t>
      </w:r>
      <w:hyperlink r:id="rId4" w:anchor="page/0/gid/1938132828/pat/6/par/E12000007/ati/102/are/E09000015" w:history="1">
        <w:r w:rsidRPr="002C5A7B">
          <w:rPr>
            <w:rStyle w:val="Hyperlink"/>
          </w:rPr>
          <w:t>https://fingertips.phe.org.uk/profile-group/mental-health/profile/suicide/data#page/0/gid/1938132828/pat/6/par/E12000007/ati/102/are/E09000015</w:t>
        </w:r>
      </w:hyperlink>
      <w:r>
        <w:t xml:space="preserve">  </w:t>
      </w:r>
    </w:p>
  </w:footnote>
  <w:footnote w:id="5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Thrive</w:t>
      </w:r>
      <w:proofErr w:type="gramEnd"/>
      <w:r>
        <w:t xml:space="preserve"> LDN Suicide Prevention.  Found here: </w:t>
      </w:r>
      <w:hyperlink r:id="rId5" w:history="1">
        <w:r w:rsidRPr="002C5A7B">
          <w:rPr>
            <w:rStyle w:val="Hyperlink"/>
          </w:rPr>
          <w:t>https://www.thriveldn.co.uk/core-activities/suicide-prevention/</w:t>
        </w:r>
      </w:hyperlink>
      <w:r>
        <w:t xml:space="preserve"> </w:t>
      </w:r>
    </w:p>
  </w:footnote>
  <w:footnote w:id="6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Public Health England Fingertips Tool.</w:t>
      </w:r>
      <w:proofErr w:type="gramEnd"/>
      <w:r>
        <w:t xml:space="preserve"> </w:t>
      </w:r>
      <w:proofErr w:type="gramStart"/>
      <w:r>
        <w:t>Common Mental Health Disorders.</w:t>
      </w:r>
      <w:proofErr w:type="gramEnd"/>
      <w:r>
        <w:t xml:space="preserve"> </w:t>
      </w:r>
      <w:hyperlink r:id="rId6" w:anchor="page/0/gid/8000041/pat/46/par/E39000018/ati/165/are/E38000004/iid/91841/age/168/sex/4" w:history="1">
        <w:r w:rsidRPr="00EB05A3">
          <w:rPr>
            <w:rStyle w:val="Hyperlink"/>
          </w:rPr>
          <w:t>https://fingertips.phe.org.uk/profile-group/mental-health/profile/common-mental-disorders/data#page/0/gid/8000041/pat/46/par/E39000018/ati/165/are/E38000004/iid/91841/age/168/sex/4</w:t>
        </w:r>
      </w:hyperlink>
      <w:r>
        <w:t xml:space="preserve"> </w:t>
      </w:r>
    </w:p>
  </w:footnote>
  <w:footnote w:id="7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ONS 2018 Mid Year estimates. Available here: </w:t>
      </w:r>
      <w:hyperlink r:id="rId7" w:history="1">
        <w:r w:rsidRPr="00D92B47">
          <w:rPr>
            <w:rStyle w:val="Hyperlink"/>
          </w:rPr>
          <w:t>https://www.ons.gov.uk/peoplepopulationandcommunity/populationandmigration/populationestimates/datasets/populationestimatesforukenglandandwalesscotlandandnorthernireland</w:t>
        </w:r>
      </w:hyperlink>
      <w:r>
        <w:t xml:space="preserve"> </w:t>
      </w:r>
    </w:p>
  </w:footnote>
  <w:footnote w:id="8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F. </w:t>
      </w:r>
      <w:proofErr w:type="spellStart"/>
      <w:proofErr w:type="gramStart"/>
      <w:r>
        <w:t>Baffour</w:t>
      </w:r>
      <w:proofErr w:type="spellEnd"/>
      <w:r>
        <w:t>(</w:t>
      </w:r>
      <w:proofErr w:type="gramEnd"/>
      <w:r>
        <w:t xml:space="preserve">2018).  </w:t>
      </w:r>
      <w:proofErr w:type="gramStart"/>
      <w:r>
        <w:t>The British Psychological Society online article.</w:t>
      </w:r>
      <w:proofErr w:type="gramEnd"/>
      <w:r>
        <w:t xml:space="preserve">  </w:t>
      </w:r>
      <w:r w:rsidRPr="00C323A7">
        <w:t>Male Suicide: A Silent Epidemic</w:t>
      </w:r>
      <w:r>
        <w:t xml:space="preserve">. Online and available here: </w:t>
      </w:r>
      <w:hyperlink r:id="rId8" w:history="1">
        <w:r w:rsidRPr="0027676D">
          <w:rPr>
            <w:rStyle w:val="Hyperlink"/>
          </w:rPr>
          <w:t>https://www.bps.org.uk/blogs/dr-funke-baffour/male-suicide-silent-epidemic</w:t>
        </w:r>
      </w:hyperlink>
      <w:r>
        <w:t xml:space="preserve"> </w:t>
      </w:r>
    </w:p>
  </w:footnote>
  <w:footnote w:id="9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  <w:r w:rsidRPr="00731F56">
        <w:rPr>
          <w:vertAlign w:val="superscript"/>
        </w:rPr>
        <w:t>8</w:t>
      </w:r>
    </w:p>
  </w:footnote>
  <w:footnote w:id="10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Samaritans and Network Rail (2012).</w:t>
      </w:r>
      <w:proofErr w:type="gramEnd"/>
      <w:r>
        <w:t xml:space="preserve"> </w:t>
      </w:r>
      <w:proofErr w:type="gramStart"/>
      <w:r>
        <w:t>Men and Suicide.</w:t>
      </w:r>
      <w:proofErr w:type="gramEnd"/>
      <w:r>
        <w:t xml:space="preserve">  Why it’s a social issue.  Available here:  </w:t>
      </w:r>
      <w:hyperlink r:id="rId9" w:history="1">
        <w:r w:rsidRPr="0027676D">
          <w:rPr>
            <w:rStyle w:val="Hyperlink"/>
          </w:rPr>
          <w:t>https://www.samaritans.org/about-samaritans/research-policy/middle-aged-men-suicide/</w:t>
        </w:r>
      </w:hyperlink>
      <w:r>
        <w:t xml:space="preserve"> </w:t>
      </w:r>
    </w:p>
  </w:footnote>
  <w:footnote w:id="11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F42C2">
        <w:t>Suicide by children and young people.</w:t>
      </w:r>
      <w:proofErr w:type="gramEnd"/>
      <w:r w:rsidRPr="009F42C2">
        <w:t xml:space="preserve"> </w:t>
      </w:r>
      <w:proofErr w:type="gramStart"/>
      <w:r w:rsidRPr="009F42C2">
        <w:t>National Confidential Inquiry into Suicide and Homicide by People with Mental Illness (NCISH).</w:t>
      </w:r>
      <w:proofErr w:type="gramEnd"/>
      <w:r w:rsidRPr="009F42C2">
        <w:t xml:space="preserve"> Manchester: University of Manchester, 2017.</w:t>
      </w:r>
      <w:r>
        <w:t xml:space="preserve">  </w:t>
      </w:r>
    </w:p>
  </w:footnote>
  <w:footnote w:id="12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F42C2">
        <w:t>Papyrus.</w:t>
      </w:r>
      <w:proofErr w:type="gramEnd"/>
      <w:r w:rsidRPr="009F42C2">
        <w:t xml:space="preserve"> </w:t>
      </w:r>
      <w:proofErr w:type="gramStart"/>
      <w:r w:rsidRPr="009F42C2">
        <w:t>Building suicide-safer schools and colleges: a guide for teachers and staff.</w:t>
      </w:r>
      <w:proofErr w:type="gramEnd"/>
      <w:r w:rsidRPr="009F42C2">
        <w:t xml:space="preserve"> 2018.  </w:t>
      </w:r>
      <w:hyperlink r:id="rId10" w:history="1">
        <w:r w:rsidRPr="0027676D">
          <w:rPr>
            <w:rStyle w:val="Hyperlink"/>
          </w:rPr>
          <w:t>https://tinyurl.com/yxj36j9p</w:t>
        </w:r>
      </w:hyperlink>
      <w:r>
        <w:t xml:space="preserve"> </w:t>
      </w:r>
      <w:r w:rsidRPr="009F42C2">
        <w:t xml:space="preserve">  </w:t>
      </w:r>
    </w:p>
  </w:footnote>
  <w:footnote w:id="13">
    <w:p w:rsidR="00DD49DC" w:rsidRPr="002E6A2A" w:rsidRDefault="00DD49D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  <w:r w:rsidRPr="002E6A2A">
        <w:rPr>
          <w:vertAlign w:val="superscript"/>
        </w:rPr>
        <w:t>11</w:t>
      </w:r>
      <w:r>
        <w:rPr>
          <w:vertAlign w:val="superscript"/>
        </w:rPr>
        <w:t xml:space="preserve">   </w:t>
      </w:r>
      <w:r>
        <w:t xml:space="preserve">  Available here: </w:t>
      </w:r>
      <w:hyperlink r:id="rId11" w:history="1">
        <w:r w:rsidRPr="0027676D">
          <w:rPr>
            <w:rStyle w:val="Hyperlink"/>
          </w:rPr>
          <w:t>https://www.hqip.org.uk/wp-content/uploads/2018/02/8iQSvI.pdf</w:t>
        </w:r>
      </w:hyperlink>
      <w:r>
        <w:t xml:space="preserve"> </w:t>
      </w:r>
    </w:p>
  </w:footnote>
  <w:footnote w:id="14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5D8A">
        <w:t xml:space="preserve">Department of Health, No Health </w:t>
      </w:r>
      <w:proofErr w:type="gramStart"/>
      <w:r w:rsidRPr="003F5D8A">
        <w:t>Without</w:t>
      </w:r>
      <w:proofErr w:type="gramEnd"/>
      <w:r w:rsidRPr="003F5D8A">
        <w:t xml:space="preserve"> Mental Health: A cross-government mental health outcomes strategy for people of all ages (2 February 2011)</w:t>
      </w:r>
      <w:r>
        <w:t xml:space="preserve">.  Available here: </w:t>
      </w:r>
      <w:hyperlink r:id="rId12" w:history="1">
        <w:r w:rsidRPr="003F5D8A">
          <w:rPr>
            <w:rStyle w:val="Hyperlink"/>
          </w:rPr>
          <w:t>http://www.dh.gov.uk/prod_consum_dh/groups/dh_digitalassets/documents/digitalasset/dh_124058.pdf</w:t>
        </w:r>
      </w:hyperlink>
    </w:p>
  </w:footnote>
  <w:footnote w:id="15">
    <w:p w:rsidR="00DD49DC" w:rsidRDefault="00DD4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Department of Health.</w:t>
      </w:r>
      <w:proofErr w:type="gramEnd"/>
      <w:r>
        <w:t xml:space="preserve">  </w:t>
      </w:r>
      <w:proofErr w:type="gramStart"/>
      <w:r>
        <w:t>Suicide Prevention Strategy for England (2012).</w:t>
      </w:r>
      <w:proofErr w:type="gramEnd"/>
      <w:r>
        <w:t xml:space="preserve">  </w:t>
      </w:r>
      <w:hyperlink r:id="rId13" w:history="1">
        <w:r w:rsidRPr="00EB05A3">
          <w:rPr>
            <w:rStyle w:val="Hyperlink"/>
          </w:rPr>
          <w:t>https://www.gov.uk/government/publications/suicide-prevention-strategy-for-england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DC" w:rsidRPr="009F42C0" w:rsidRDefault="00DD49DC">
    <w:pPr>
      <w:pStyle w:val="Header"/>
      <w:rPr>
        <w:b/>
        <w:sz w:val="24"/>
      </w:rPr>
    </w:pPr>
    <w:r w:rsidRPr="009F42C0">
      <w:rPr>
        <w:b/>
        <w:sz w:val="24"/>
      </w:rPr>
      <w:t xml:space="preserve">DRAFT Suicide Prevention </w:t>
    </w:r>
    <w:r>
      <w:rPr>
        <w:b/>
        <w:sz w:val="24"/>
      </w:rPr>
      <w:t>Action Plan October</w:t>
    </w:r>
    <w:r w:rsidRPr="009F42C0">
      <w:rPr>
        <w:b/>
        <w:sz w:val="24"/>
      </w:rPr>
      <w:t xml:space="preserve"> 2019</w:t>
    </w:r>
  </w:p>
  <w:p w:rsidR="00DD49DC" w:rsidRPr="009F42C0" w:rsidRDefault="00DD49DC">
    <w:pPr>
      <w:pStyle w:val="Header"/>
      <w:rPr>
        <w:b/>
        <w:sz w:val="24"/>
      </w:rPr>
    </w:pPr>
    <w:r w:rsidRPr="009F42C0">
      <w:rPr>
        <w:b/>
        <w:sz w:val="24"/>
      </w:rPr>
      <w:t>Brent &amp; Harrow Public Health</w:t>
    </w:r>
  </w:p>
  <w:sdt>
    <w:sdtPr>
      <w:id w:val="-1490245886"/>
      <w:docPartObj>
        <w:docPartGallery w:val="Watermarks"/>
        <w:docPartUnique/>
      </w:docPartObj>
    </w:sdtPr>
    <w:sdtEndPr/>
    <w:sdtContent>
      <w:p w:rsidR="00DD49DC" w:rsidRDefault="0092505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8B9"/>
    <w:multiLevelType w:val="hybridMultilevel"/>
    <w:tmpl w:val="5E36D1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C457D"/>
    <w:multiLevelType w:val="hybridMultilevel"/>
    <w:tmpl w:val="4480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DCA"/>
    <w:multiLevelType w:val="hybridMultilevel"/>
    <w:tmpl w:val="AAC4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698A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F44"/>
    <w:multiLevelType w:val="hybridMultilevel"/>
    <w:tmpl w:val="CDCC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263"/>
    <w:multiLevelType w:val="hybridMultilevel"/>
    <w:tmpl w:val="AF1A09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40EC0"/>
    <w:multiLevelType w:val="hybridMultilevel"/>
    <w:tmpl w:val="5248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A810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49AE"/>
    <w:multiLevelType w:val="hybridMultilevel"/>
    <w:tmpl w:val="455C4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0BCB"/>
    <w:multiLevelType w:val="hybridMultilevel"/>
    <w:tmpl w:val="13BA2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A37BF"/>
    <w:multiLevelType w:val="hybridMultilevel"/>
    <w:tmpl w:val="BE44AC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A5365"/>
    <w:multiLevelType w:val="hybridMultilevel"/>
    <w:tmpl w:val="1CBC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30AAD"/>
    <w:multiLevelType w:val="hybridMultilevel"/>
    <w:tmpl w:val="8C9EF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992CAB"/>
    <w:multiLevelType w:val="hybridMultilevel"/>
    <w:tmpl w:val="D286FC94"/>
    <w:lvl w:ilvl="0" w:tplc="BB24F5A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0090"/>
    <w:multiLevelType w:val="hybridMultilevel"/>
    <w:tmpl w:val="BAE46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1F3E"/>
    <w:multiLevelType w:val="hybridMultilevel"/>
    <w:tmpl w:val="97A06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9075F"/>
    <w:multiLevelType w:val="hybridMultilevel"/>
    <w:tmpl w:val="FC2C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0639C"/>
    <w:multiLevelType w:val="hybridMultilevel"/>
    <w:tmpl w:val="275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43B27"/>
    <w:multiLevelType w:val="hybridMultilevel"/>
    <w:tmpl w:val="0A8E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40513"/>
    <w:multiLevelType w:val="hybridMultilevel"/>
    <w:tmpl w:val="9B70A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5"/>
  </w:num>
  <w:num w:numId="8">
    <w:abstractNumId w:val="12"/>
  </w:num>
  <w:num w:numId="9">
    <w:abstractNumId w:val="5"/>
  </w:num>
  <w:num w:numId="10">
    <w:abstractNumId w:val="16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6"/>
    <w:rsid w:val="00013725"/>
    <w:rsid w:val="00020C83"/>
    <w:rsid w:val="00027E6A"/>
    <w:rsid w:val="00030B26"/>
    <w:rsid w:val="000414EC"/>
    <w:rsid w:val="00046A30"/>
    <w:rsid w:val="00051400"/>
    <w:rsid w:val="00055991"/>
    <w:rsid w:val="000575EA"/>
    <w:rsid w:val="000673C6"/>
    <w:rsid w:val="00076011"/>
    <w:rsid w:val="00084D7C"/>
    <w:rsid w:val="000946ED"/>
    <w:rsid w:val="000A7BBA"/>
    <w:rsid w:val="000B6BF9"/>
    <w:rsid w:val="000D2C0C"/>
    <w:rsid w:val="000D4672"/>
    <w:rsid w:val="000E2458"/>
    <w:rsid w:val="000F2F44"/>
    <w:rsid w:val="000F5F93"/>
    <w:rsid w:val="001177BC"/>
    <w:rsid w:val="0012048B"/>
    <w:rsid w:val="001264B4"/>
    <w:rsid w:val="00135F97"/>
    <w:rsid w:val="00144E38"/>
    <w:rsid w:val="00145F9B"/>
    <w:rsid w:val="00176D07"/>
    <w:rsid w:val="00193B65"/>
    <w:rsid w:val="001D5011"/>
    <w:rsid w:val="001F78F8"/>
    <w:rsid w:val="00200A4C"/>
    <w:rsid w:val="002014B7"/>
    <w:rsid w:val="00213A44"/>
    <w:rsid w:val="00216EAC"/>
    <w:rsid w:val="00225E67"/>
    <w:rsid w:val="002366ED"/>
    <w:rsid w:val="0023772A"/>
    <w:rsid w:val="00246039"/>
    <w:rsid w:val="002527A3"/>
    <w:rsid w:val="002632B7"/>
    <w:rsid w:val="002763E7"/>
    <w:rsid w:val="00286C96"/>
    <w:rsid w:val="002A7149"/>
    <w:rsid w:val="002B2B87"/>
    <w:rsid w:val="002B41CE"/>
    <w:rsid w:val="002B5ECC"/>
    <w:rsid w:val="002B62AE"/>
    <w:rsid w:val="002C7782"/>
    <w:rsid w:val="002D62A8"/>
    <w:rsid w:val="002E6A2A"/>
    <w:rsid w:val="00302043"/>
    <w:rsid w:val="00303816"/>
    <w:rsid w:val="00333D33"/>
    <w:rsid w:val="00337617"/>
    <w:rsid w:val="00345B76"/>
    <w:rsid w:val="003474CC"/>
    <w:rsid w:val="00352E26"/>
    <w:rsid w:val="003545D3"/>
    <w:rsid w:val="00354D2E"/>
    <w:rsid w:val="00367B4C"/>
    <w:rsid w:val="003812BD"/>
    <w:rsid w:val="00382095"/>
    <w:rsid w:val="00385752"/>
    <w:rsid w:val="003A5169"/>
    <w:rsid w:val="003B2668"/>
    <w:rsid w:val="003D4F2B"/>
    <w:rsid w:val="003F5D8A"/>
    <w:rsid w:val="00402873"/>
    <w:rsid w:val="00420BE2"/>
    <w:rsid w:val="00430A7D"/>
    <w:rsid w:val="00447D7F"/>
    <w:rsid w:val="00464E0F"/>
    <w:rsid w:val="004667E6"/>
    <w:rsid w:val="00476125"/>
    <w:rsid w:val="00497417"/>
    <w:rsid w:val="004A1D3B"/>
    <w:rsid w:val="004D0FE1"/>
    <w:rsid w:val="004D75BB"/>
    <w:rsid w:val="004E152C"/>
    <w:rsid w:val="004E4178"/>
    <w:rsid w:val="004E559E"/>
    <w:rsid w:val="00502134"/>
    <w:rsid w:val="005114A9"/>
    <w:rsid w:val="005126D2"/>
    <w:rsid w:val="0052217D"/>
    <w:rsid w:val="005306EA"/>
    <w:rsid w:val="00543F9F"/>
    <w:rsid w:val="005547D7"/>
    <w:rsid w:val="00561039"/>
    <w:rsid w:val="00566A0E"/>
    <w:rsid w:val="00574B2E"/>
    <w:rsid w:val="00580DB1"/>
    <w:rsid w:val="0058269E"/>
    <w:rsid w:val="005928D9"/>
    <w:rsid w:val="005A2303"/>
    <w:rsid w:val="005B49DB"/>
    <w:rsid w:val="005B585B"/>
    <w:rsid w:val="005C1C0D"/>
    <w:rsid w:val="005C3291"/>
    <w:rsid w:val="005F5C8A"/>
    <w:rsid w:val="00634095"/>
    <w:rsid w:val="0063628D"/>
    <w:rsid w:val="00641081"/>
    <w:rsid w:val="006477F0"/>
    <w:rsid w:val="00651066"/>
    <w:rsid w:val="00653C22"/>
    <w:rsid w:val="00655410"/>
    <w:rsid w:val="006770B9"/>
    <w:rsid w:val="00687490"/>
    <w:rsid w:val="00695919"/>
    <w:rsid w:val="006974AF"/>
    <w:rsid w:val="006A4E52"/>
    <w:rsid w:val="006B1512"/>
    <w:rsid w:val="006D1DCE"/>
    <w:rsid w:val="006E71F3"/>
    <w:rsid w:val="00705954"/>
    <w:rsid w:val="00711A8C"/>
    <w:rsid w:val="00731F56"/>
    <w:rsid w:val="00736149"/>
    <w:rsid w:val="00736B83"/>
    <w:rsid w:val="00753F74"/>
    <w:rsid w:val="007671E5"/>
    <w:rsid w:val="00774DF7"/>
    <w:rsid w:val="007809F4"/>
    <w:rsid w:val="00787ABE"/>
    <w:rsid w:val="00792998"/>
    <w:rsid w:val="007A0467"/>
    <w:rsid w:val="007B7BAC"/>
    <w:rsid w:val="007C3426"/>
    <w:rsid w:val="007E2903"/>
    <w:rsid w:val="007E45D5"/>
    <w:rsid w:val="007E5704"/>
    <w:rsid w:val="007F3171"/>
    <w:rsid w:val="00801FF8"/>
    <w:rsid w:val="0080412F"/>
    <w:rsid w:val="00827C83"/>
    <w:rsid w:val="00840E03"/>
    <w:rsid w:val="0084394E"/>
    <w:rsid w:val="008567DB"/>
    <w:rsid w:val="00860C6E"/>
    <w:rsid w:val="008616BF"/>
    <w:rsid w:val="008635DA"/>
    <w:rsid w:val="008644D9"/>
    <w:rsid w:val="008717CF"/>
    <w:rsid w:val="00871CCB"/>
    <w:rsid w:val="00872F2A"/>
    <w:rsid w:val="00877062"/>
    <w:rsid w:val="008A13F3"/>
    <w:rsid w:val="008B6038"/>
    <w:rsid w:val="008C4227"/>
    <w:rsid w:val="008C5844"/>
    <w:rsid w:val="008C699E"/>
    <w:rsid w:val="008D3DBA"/>
    <w:rsid w:val="008E2B06"/>
    <w:rsid w:val="00903661"/>
    <w:rsid w:val="00906650"/>
    <w:rsid w:val="00912A97"/>
    <w:rsid w:val="00912D46"/>
    <w:rsid w:val="00913087"/>
    <w:rsid w:val="00925054"/>
    <w:rsid w:val="00930C9E"/>
    <w:rsid w:val="00942C61"/>
    <w:rsid w:val="009514FE"/>
    <w:rsid w:val="00960FC6"/>
    <w:rsid w:val="00967C9A"/>
    <w:rsid w:val="00974138"/>
    <w:rsid w:val="009844BF"/>
    <w:rsid w:val="009864E4"/>
    <w:rsid w:val="00986F6D"/>
    <w:rsid w:val="00995C48"/>
    <w:rsid w:val="009961A6"/>
    <w:rsid w:val="009B143F"/>
    <w:rsid w:val="009D695A"/>
    <w:rsid w:val="009E00AF"/>
    <w:rsid w:val="009E7890"/>
    <w:rsid w:val="009F42C0"/>
    <w:rsid w:val="009F42C2"/>
    <w:rsid w:val="009F6BF1"/>
    <w:rsid w:val="00A01990"/>
    <w:rsid w:val="00A11639"/>
    <w:rsid w:val="00A40CCB"/>
    <w:rsid w:val="00A42F4B"/>
    <w:rsid w:val="00AA5CB9"/>
    <w:rsid w:val="00AA7AE0"/>
    <w:rsid w:val="00AB4417"/>
    <w:rsid w:val="00AC17FC"/>
    <w:rsid w:val="00AD3139"/>
    <w:rsid w:val="00AE1420"/>
    <w:rsid w:val="00AE17C9"/>
    <w:rsid w:val="00B067BD"/>
    <w:rsid w:val="00B0747C"/>
    <w:rsid w:val="00B0798E"/>
    <w:rsid w:val="00B33A9B"/>
    <w:rsid w:val="00B40A5F"/>
    <w:rsid w:val="00B61BAB"/>
    <w:rsid w:val="00B7316E"/>
    <w:rsid w:val="00B9060F"/>
    <w:rsid w:val="00B92771"/>
    <w:rsid w:val="00BA0FA6"/>
    <w:rsid w:val="00BA44C1"/>
    <w:rsid w:val="00BB2949"/>
    <w:rsid w:val="00C04053"/>
    <w:rsid w:val="00C27859"/>
    <w:rsid w:val="00C323A7"/>
    <w:rsid w:val="00C35906"/>
    <w:rsid w:val="00C40138"/>
    <w:rsid w:val="00C40F2E"/>
    <w:rsid w:val="00C71B1F"/>
    <w:rsid w:val="00C7562F"/>
    <w:rsid w:val="00C77E33"/>
    <w:rsid w:val="00C80BE0"/>
    <w:rsid w:val="00CA0EE0"/>
    <w:rsid w:val="00CA7682"/>
    <w:rsid w:val="00CC73BC"/>
    <w:rsid w:val="00CD0350"/>
    <w:rsid w:val="00CD2E24"/>
    <w:rsid w:val="00CE0EDA"/>
    <w:rsid w:val="00CF0BC2"/>
    <w:rsid w:val="00CF2BA0"/>
    <w:rsid w:val="00CF6C1F"/>
    <w:rsid w:val="00D10D5B"/>
    <w:rsid w:val="00D11ADF"/>
    <w:rsid w:val="00D157FF"/>
    <w:rsid w:val="00D22D42"/>
    <w:rsid w:val="00D251B0"/>
    <w:rsid w:val="00D37817"/>
    <w:rsid w:val="00D37C53"/>
    <w:rsid w:val="00D4092C"/>
    <w:rsid w:val="00D46D77"/>
    <w:rsid w:val="00D5504C"/>
    <w:rsid w:val="00D63E31"/>
    <w:rsid w:val="00D71CFE"/>
    <w:rsid w:val="00D74879"/>
    <w:rsid w:val="00D7772D"/>
    <w:rsid w:val="00DB43B8"/>
    <w:rsid w:val="00DB6051"/>
    <w:rsid w:val="00DD49DC"/>
    <w:rsid w:val="00DF1299"/>
    <w:rsid w:val="00DF1870"/>
    <w:rsid w:val="00DF66AC"/>
    <w:rsid w:val="00E001A9"/>
    <w:rsid w:val="00E02C9A"/>
    <w:rsid w:val="00E2227A"/>
    <w:rsid w:val="00E27C00"/>
    <w:rsid w:val="00E35A29"/>
    <w:rsid w:val="00E51BF4"/>
    <w:rsid w:val="00E6015E"/>
    <w:rsid w:val="00E61718"/>
    <w:rsid w:val="00E6720C"/>
    <w:rsid w:val="00E75028"/>
    <w:rsid w:val="00EA16E9"/>
    <w:rsid w:val="00EA19DC"/>
    <w:rsid w:val="00EA73F2"/>
    <w:rsid w:val="00EB6140"/>
    <w:rsid w:val="00EC58C8"/>
    <w:rsid w:val="00EE461E"/>
    <w:rsid w:val="00EF2BE0"/>
    <w:rsid w:val="00EF5A38"/>
    <w:rsid w:val="00EF7671"/>
    <w:rsid w:val="00F018D0"/>
    <w:rsid w:val="00F17434"/>
    <w:rsid w:val="00F21F79"/>
    <w:rsid w:val="00F25EF0"/>
    <w:rsid w:val="00F414D7"/>
    <w:rsid w:val="00F5287F"/>
    <w:rsid w:val="00F60B0A"/>
    <w:rsid w:val="00F6220F"/>
    <w:rsid w:val="00F67A76"/>
    <w:rsid w:val="00F97C15"/>
    <w:rsid w:val="00FA1EEE"/>
    <w:rsid w:val="00FA4D9F"/>
    <w:rsid w:val="00FB5CA3"/>
    <w:rsid w:val="00FC208C"/>
    <w:rsid w:val="00FC567A"/>
    <w:rsid w:val="00FD0F1B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69E"/>
    <w:pPr>
      <w:outlineLvl w:val="0"/>
    </w:pPr>
    <w:rPr>
      <w:rFonts w:asciiTheme="minorHAnsi" w:hAnsiTheme="minorHAnsi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C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0673C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3C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8269E"/>
    <w:rPr>
      <w:rFonts w:asciiTheme="minorHAnsi" w:hAnsiTheme="minorHAnsi" w:cs="Arial"/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CA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0B0A"/>
    <w:pPr>
      <w:spacing w:after="0" w:line="240" w:lineRule="auto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B5CA3"/>
    <w:pPr>
      <w:spacing w:after="10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0B0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60B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B0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0B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0B0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027E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9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9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61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6A4E5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4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16EAC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E17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69E"/>
    <w:pPr>
      <w:outlineLvl w:val="0"/>
    </w:pPr>
    <w:rPr>
      <w:rFonts w:asciiTheme="minorHAnsi" w:hAnsiTheme="minorHAnsi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C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0673C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3C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8269E"/>
    <w:rPr>
      <w:rFonts w:asciiTheme="minorHAnsi" w:hAnsiTheme="minorHAnsi" w:cs="Arial"/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CA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0B0A"/>
    <w:pPr>
      <w:spacing w:after="0" w:line="240" w:lineRule="auto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B5CA3"/>
    <w:pPr>
      <w:spacing w:after="10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0B0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60B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B0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0B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0B0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027E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9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9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61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6A4E5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4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16EAC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E17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thriveldn.co.uk/campaigns/zerosuicideld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org.uk/blogs/dr-funke-baffour/male-suicide-silent-epidemic" TargetMode="External"/><Relationship Id="rId13" Type="http://schemas.openxmlformats.org/officeDocument/2006/relationships/hyperlink" Target="https://www.gov.uk/government/publications/suicide-prevention-strategy-for-england" TargetMode="External"/><Relationship Id="rId3" Type="http://schemas.openxmlformats.org/officeDocument/2006/relationships/hyperlink" Target="https://www.england.nhs.uk/wp-content/uploads/2016/02/Mental-Health-Taskforce-FYFV-final.pdf" TargetMode="External"/><Relationship Id="rId7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12" Type="http://schemas.openxmlformats.org/officeDocument/2006/relationships/hyperlink" Target="http://www.dh.gov.uk/prod_consum_dh/groups/dh_digitalassets/documents/digitalasset/dh_124058.pdf" TargetMode="External"/><Relationship Id="rId2" Type="http://schemas.openxmlformats.org/officeDocument/2006/relationships/hyperlink" Target="https://assets.publishing.service.gov.uk/government/uploads/system/uploads/attachment_data/file/430720/Preventing-Suicide-.pdf" TargetMode="External"/><Relationship Id="rId1" Type="http://schemas.openxmlformats.org/officeDocument/2006/relationships/hyperlink" Target="https://www.ons.gov.uk/peoplepopulationandcommunity/birthsdeathsandmarriages/deaths/bulletins/suicidesintheunitedkingdom/2018registrations" TargetMode="External"/><Relationship Id="rId6" Type="http://schemas.openxmlformats.org/officeDocument/2006/relationships/hyperlink" Target="https://fingertips.phe.org.uk/profile-group/mental-health/profile/common-mental-disorders/data" TargetMode="External"/><Relationship Id="rId11" Type="http://schemas.openxmlformats.org/officeDocument/2006/relationships/hyperlink" Target="https://www.hqip.org.uk/wp-content/uploads/2018/02/8iQSvI.pdf" TargetMode="External"/><Relationship Id="rId5" Type="http://schemas.openxmlformats.org/officeDocument/2006/relationships/hyperlink" Target="https://www.thriveldn.co.uk/core-activities/suicide-prevention/" TargetMode="External"/><Relationship Id="rId10" Type="http://schemas.openxmlformats.org/officeDocument/2006/relationships/hyperlink" Target="https://tinyurl.com/yxj36j9p" TargetMode="External"/><Relationship Id="rId4" Type="http://schemas.openxmlformats.org/officeDocument/2006/relationships/hyperlink" Target="https://fingertips.phe.org.uk/profile-group/mental-health/profile/suicide/data" TargetMode="External"/><Relationship Id="rId9" Type="http://schemas.openxmlformats.org/officeDocument/2006/relationships/hyperlink" Target="https://www.samaritans.org/about-samaritans/research-policy/middle-aged-men-suicid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Sheet1!$A$9</c:f>
              <c:strCache>
                <c:ptCount val="1"/>
                <c:pt idx="0">
                  <c:v>Harrow </c:v>
                </c:pt>
              </c:strCache>
            </c:strRef>
          </c:tx>
          <c:cat>
            <c:numRef>
              <c:f>Sheet1!$B$8:$H$8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Sheet1!$B$9:$H$9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13</c:v>
                </c:pt>
                <c:pt idx="3">
                  <c:v>21</c:v>
                </c:pt>
                <c:pt idx="4">
                  <c:v>20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Sheet1!$A$10</c:f>
              <c:strCache>
                <c:ptCount val="1"/>
                <c:pt idx="0">
                  <c:v>Brent</c:v>
                </c:pt>
              </c:strCache>
            </c:strRef>
          </c:tx>
          <c:cat>
            <c:numRef>
              <c:f>Sheet1!$B$8:$H$8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Sheet1!$B$10:$H$10</c:f>
              <c:numCache>
                <c:formatCode>General</c:formatCode>
                <c:ptCount val="7"/>
                <c:pt idx="0">
                  <c:v>18</c:v>
                </c:pt>
                <c:pt idx="1">
                  <c:v>21</c:v>
                </c:pt>
                <c:pt idx="2">
                  <c:v>25</c:v>
                </c:pt>
                <c:pt idx="3">
                  <c:v>28</c:v>
                </c:pt>
                <c:pt idx="4">
                  <c:v>20</c:v>
                </c:pt>
                <c:pt idx="5">
                  <c:v>16</c:v>
                </c:pt>
                <c:pt idx="6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05984"/>
        <c:axId val="125567360"/>
      </c:lineChart>
      <c:catAx>
        <c:axId val="12530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567360"/>
        <c:crosses val="autoZero"/>
        <c:auto val="1"/>
        <c:lblAlgn val="ctr"/>
        <c:lblOffset val="100"/>
        <c:noMultiLvlLbl val="0"/>
      </c:catAx>
      <c:valAx>
        <c:axId val="1255673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 i="0" baseline="0"/>
                </a:pPr>
                <a:r>
                  <a:rPr lang="en-GB" b="0" i="0" baseline="0"/>
                  <a:t>Number of deaths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5305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975FCE-D7AC-42FF-BF09-7DEBF40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4316</Words>
  <Characters>24605</Characters>
  <Application>Microsoft Office Word</Application>
  <DocSecurity>4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Brent and Harrow Suicide Prevention Action Plan 2019/20 – 2023/24</vt:lpstr>
    </vt:vector>
  </TitlesOfParts>
  <Company>London Borough of Harrow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Brent and Harrow Suicide Prevention Action Plan 2019/20 – 2023/24</dc:title>
  <dc:creator>Brent and Harrow PH</dc:creator>
  <cp:lastModifiedBy>Miriam Wearing</cp:lastModifiedBy>
  <cp:revision>2</cp:revision>
  <cp:lastPrinted>2019-11-04T10:13:00Z</cp:lastPrinted>
  <dcterms:created xsi:type="dcterms:W3CDTF">2019-12-20T10:17:00Z</dcterms:created>
  <dcterms:modified xsi:type="dcterms:W3CDTF">2019-12-20T10:17:00Z</dcterms:modified>
</cp:coreProperties>
</file>